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B5E76F" w14:textId="77777777" w:rsidR="008238E6" w:rsidRDefault="00D61AB3">
      <w:r>
        <w:rPr>
          <w:noProof/>
        </w:rPr>
        <w:drawing>
          <wp:anchor distT="0" distB="0" distL="0" distR="0" simplePos="0" relativeHeight="251658240" behindDoc="1" locked="0" layoutInCell="1" hidden="0" allowOverlap="1" wp14:anchorId="4FB5F341" wp14:editId="4FB5F342">
            <wp:simplePos x="0" y="0"/>
            <wp:positionH relativeFrom="column">
              <wp:posOffset>177800</wp:posOffset>
            </wp:positionH>
            <wp:positionV relativeFrom="paragraph">
              <wp:posOffset>-231773</wp:posOffset>
            </wp:positionV>
            <wp:extent cx="5581650" cy="9010650"/>
            <wp:effectExtent l="0" t="0" r="0" b="0"/>
            <wp:wrapNone/>
            <wp:docPr id="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l="20445" t="5305" r="4970" b="5781"/>
                    <a:stretch>
                      <a:fillRect/>
                    </a:stretch>
                  </pic:blipFill>
                  <pic:spPr>
                    <a:xfrm>
                      <a:off x="0" y="0"/>
                      <a:ext cx="5581650" cy="9010650"/>
                    </a:xfrm>
                    <a:prstGeom prst="rect">
                      <a:avLst/>
                    </a:prstGeom>
                    <a:ln/>
                  </pic:spPr>
                </pic:pic>
              </a:graphicData>
            </a:graphic>
          </wp:anchor>
        </w:drawing>
      </w:r>
      <w:r>
        <w:rPr>
          <w:noProof/>
        </w:rPr>
        <mc:AlternateContent>
          <mc:Choice Requires="wps">
            <w:drawing>
              <wp:anchor distT="0" distB="0" distL="114300" distR="114300" simplePos="0" relativeHeight="251658241" behindDoc="0" locked="0" layoutInCell="1" hidden="0" allowOverlap="1" wp14:anchorId="4FB5F343" wp14:editId="4FB5F344">
                <wp:simplePos x="0" y="0"/>
                <wp:positionH relativeFrom="column">
                  <wp:posOffset>469900</wp:posOffset>
                </wp:positionH>
                <wp:positionV relativeFrom="paragraph">
                  <wp:posOffset>0</wp:posOffset>
                </wp:positionV>
                <wp:extent cx="5219700" cy="7558574"/>
                <wp:effectExtent l="0" t="0" r="0" b="0"/>
                <wp:wrapNone/>
                <wp:docPr id="47" name="Forma Livre: Forma 47"/>
                <wp:cNvGraphicFramePr/>
                <a:graphic xmlns:a="http://schemas.openxmlformats.org/drawingml/2006/main">
                  <a:graphicData uri="http://schemas.microsoft.com/office/word/2010/wordprocessingShape">
                    <wps:wsp>
                      <wps:cNvSpPr/>
                      <wps:spPr>
                        <a:xfrm>
                          <a:off x="2745675" y="0"/>
                          <a:ext cx="5200650" cy="7560000"/>
                        </a:xfrm>
                        <a:custGeom>
                          <a:avLst/>
                          <a:gdLst/>
                          <a:ahLst/>
                          <a:cxnLst/>
                          <a:rect l="l" t="t" r="r" b="b"/>
                          <a:pathLst>
                            <a:path w="5200650" h="7587615" extrusionOk="0">
                              <a:moveTo>
                                <a:pt x="0" y="0"/>
                              </a:moveTo>
                              <a:lnTo>
                                <a:pt x="0" y="7587615"/>
                              </a:lnTo>
                              <a:lnTo>
                                <a:pt x="5200650" y="7587615"/>
                              </a:lnTo>
                              <a:lnTo>
                                <a:pt x="5200650" y="0"/>
                              </a:lnTo>
                              <a:close/>
                            </a:path>
                          </a:pathLst>
                        </a:custGeom>
                        <a:noFill/>
                        <a:ln>
                          <a:noFill/>
                        </a:ln>
                      </wps:spPr>
                      <wps:txbx>
                        <w:txbxContent>
                          <w:p w14:paraId="4FB5F37E" w14:textId="77777777" w:rsidR="008238E6" w:rsidRDefault="008238E6">
                            <w:pPr>
                              <w:spacing w:before="0" w:after="0" w:line="240" w:lineRule="auto"/>
                              <w:jc w:val="center"/>
                              <w:textDirection w:val="btLr"/>
                            </w:pPr>
                          </w:p>
                          <w:p w14:paraId="4FB5F37F" w14:textId="77777777" w:rsidR="008238E6" w:rsidRDefault="008238E6">
                            <w:pPr>
                              <w:spacing w:before="0" w:after="0" w:line="240" w:lineRule="auto"/>
                              <w:jc w:val="center"/>
                              <w:textDirection w:val="btLr"/>
                            </w:pPr>
                          </w:p>
                          <w:p w14:paraId="4FB5F380" w14:textId="77777777" w:rsidR="008238E6" w:rsidRDefault="008238E6">
                            <w:pPr>
                              <w:spacing w:before="0" w:after="0" w:line="240" w:lineRule="auto"/>
                              <w:jc w:val="center"/>
                              <w:textDirection w:val="btLr"/>
                            </w:pPr>
                          </w:p>
                          <w:p w14:paraId="4FB5F381" w14:textId="77777777" w:rsidR="008238E6" w:rsidRDefault="008238E6">
                            <w:pPr>
                              <w:spacing w:before="0" w:after="0" w:line="240" w:lineRule="auto"/>
                              <w:jc w:val="center"/>
                              <w:textDirection w:val="btLr"/>
                            </w:pPr>
                          </w:p>
                          <w:p w14:paraId="4FB5F382" w14:textId="77777777" w:rsidR="008238E6" w:rsidRDefault="008238E6">
                            <w:pPr>
                              <w:spacing w:before="0" w:after="0" w:line="240" w:lineRule="auto"/>
                              <w:jc w:val="center"/>
                              <w:textDirection w:val="btLr"/>
                            </w:pPr>
                          </w:p>
                          <w:p w14:paraId="4FB5F383" w14:textId="77777777" w:rsidR="008238E6" w:rsidRDefault="00D61AB3">
                            <w:pPr>
                              <w:spacing w:before="0" w:after="0" w:line="240" w:lineRule="auto"/>
                              <w:jc w:val="center"/>
                              <w:textDirection w:val="btLr"/>
                            </w:pPr>
                            <w:r>
                              <w:rPr>
                                <w:color w:val="000000"/>
                                <w:sz w:val="52"/>
                              </w:rPr>
                              <w:t>Relatório de Análise Crítica</w:t>
                            </w:r>
                          </w:p>
                          <w:p w14:paraId="4FB5F384" w14:textId="77777777" w:rsidR="008238E6" w:rsidRDefault="00D61AB3">
                            <w:pPr>
                              <w:spacing w:before="0" w:after="0" w:line="240" w:lineRule="auto"/>
                              <w:jc w:val="center"/>
                              <w:textDirection w:val="btLr"/>
                            </w:pPr>
                            <w:r>
                              <w:rPr>
                                <w:color w:val="000000"/>
                                <w:sz w:val="32"/>
                              </w:rPr>
                              <w:t>Proposta de Atualização do Rol de Procedimentos e Eventos em Saúde</w:t>
                            </w:r>
                          </w:p>
                          <w:p w14:paraId="4FB5F385" w14:textId="77777777" w:rsidR="008238E6" w:rsidRDefault="008238E6">
                            <w:pPr>
                              <w:textDirection w:val="btLr"/>
                            </w:pPr>
                          </w:p>
                          <w:p w14:paraId="4FB5F386" w14:textId="77777777" w:rsidR="008238E6" w:rsidRDefault="008238E6">
                            <w:pPr>
                              <w:spacing w:line="240" w:lineRule="auto"/>
                              <w:jc w:val="center"/>
                              <w:textDirection w:val="btLr"/>
                            </w:pPr>
                          </w:p>
                          <w:p w14:paraId="4FB5F387" w14:textId="77777777" w:rsidR="008238E6" w:rsidRDefault="008238E6">
                            <w:pPr>
                              <w:spacing w:line="240" w:lineRule="auto"/>
                              <w:jc w:val="center"/>
                              <w:textDirection w:val="btLr"/>
                            </w:pPr>
                          </w:p>
                          <w:p w14:paraId="4FB5F388" w14:textId="77777777" w:rsidR="008238E6" w:rsidRDefault="008238E6">
                            <w:pPr>
                              <w:spacing w:line="240" w:lineRule="auto"/>
                              <w:jc w:val="center"/>
                              <w:textDirection w:val="btLr"/>
                            </w:pPr>
                          </w:p>
                          <w:p w14:paraId="4FB5F389" w14:textId="77777777" w:rsidR="008238E6" w:rsidRDefault="00D61AB3">
                            <w:pPr>
                              <w:spacing w:line="240" w:lineRule="auto"/>
                              <w:jc w:val="center"/>
                              <w:textDirection w:val="btLr"/>
                            </w:pPr>
                            <w:r>
                              <w:rPr>
                                <w:color w:val="44546A"/>
                                <w:sz w:val="40"/>
                              </w:rPr>
                              <w:t>Teste genético para diagnóstico de diabetes tipo MODY</w:t>
                            </w:r>
                          </w:p>
                          <w:p w14:paraId="4FB5F38A" w14:textId="77777777" w:rsidR="008238E6" w:rsidRDefault="008238E6">
                            <w:pPr>
                              <w:textDirection w:val="btLr"/>
                            </w:pPr>
                          </w:p>
                          <w:p w14:paraId="4FB5F38B" w14:textId="77777777" w:rsidR="008238E6" w:rsidRDefault="008238E6">
                            <w:pPr>
                              <w:textDirection w:val="btLr"/>
                            </w:pPr>
                          </w:p>
                        </w:txbxContent>
                      </wps:txbx>
                      <wps:bodyPr spcFirstLastPara="1" wrap="square" lIns="88900" tIns="38100" rIns="88900" bIns="38100" anchor="t" anchorCtr="0">
                        <a:noAutofit/>
                      </wps:bodyPr>
                    </wps:wsp>
                  </a:graphicData>
                </a:graphic>
              </wp:anchor>
            </w:drawing>
          </mc:Choice>
          <mc:Fallback xmlns:a="http://schemas.openxmlformats.org/drawingml/2006/main" xmlns:pic="http://schemas.openxmlformats.org/drawingml/2006/picture" xmlns:arto="http://schemas.microsoft.com/office/word/2006/arto">
            <w:pict w14:anchorId="0D1E3512">
              <v:shape id="Forma Livre: Forma 47" style="position:absolute;left:0;text-align:left;margin-left:37pt;margin-top:0;width:411pt;height:595.15pt;z-index:251658241;visibility:visible;mso-wrap-style:square;mso-wrap-distance-left:9pt;mso-wrap-distance-top:0;mso-wrap-distance-right:9pt;mso-wrap-distance-bottom:0;mso-position-horizontal:absolute;mso-position-horizontal-relative:text;mso-position-vertical:absolute;mso-position-vertical-relative:text;v-text-anchor:top" coordsize="5200650,7587615" o:spid="_x0000_s1026" filled="f" stroked="f" o:spt="100" adj="-11796480,,5400" path="m,l,7587615r5200650,l520065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" w14:anchorId="4FB5F343">
                <v:stroke joinstyle="miter"/>
                <v:formulas/>
                <v:path textboxrect="0,0,5200650,7587615" arrowok="t" o:connecttype="custom" o:extrusionok="f"/>
                <v:textbox inset="7pt,3pt,7pt,3pt">
                  <w:txbxContent>
                    <w:p w:rsidR="008238E6" w:rsidRDefault="008238E6" w14:paraId="672A6659" w14:textId="77777777">
                      <w:pPr>
                        <w:spacing w:before="0" w:after="0" w:line="240" w:lineRule="auto"/>
                        <w:jc w:val="center"/>
                        <w:textDirection w:val="btLr"/>
                      </w:pPr>
                    </w:p>
                    <w:p w:rsidR="008238E6" w:rsidRDefault="008238E6" w14:paraId="0A37501D" w14:textId="77777777">
                      <w:pPr>
                        <w:spacing w:before="0" w:after="0" w:line="240" w:lineRule="auto"/>
                        <w:jc w:val="center"/>
                        <w:textDirection w:val="btLr"/>
                      </w:pPr>
                    </w:p>
                    <w:p w:rsidR="008238E6" w:rsidRDefault="008238E6" w14:paraId="5DAB6C7B" w14:textId="77777777">
                      <w:pPr>
                        <w:spacing w:before="0" w:after="0" w:line="240" w:lineRule="auto"/>
                        <w:jc w:val="center"/>
                        <w:textDirection w:val="btLr"/>
                      </w:pPr>
                    </w:p>
                    <w:p w:rsidR="008238E6" w:rsidRDefault="008238E6" w14:paraId="02EB378F" w14:textId="77777777">
                      <w:pPr>
                        <w:spacing w:before="0" w:after="0" w:line="240" w:lineRule="auto"/>
                        <w:jc w:val="center"/>
                        <w:textDirection w:val="btLr"/>
                      </w:pPr>
                    </w:p>
                    <w:p w:rsidR="008238E6" w:rsidRDefault="008238E6" w14:paraId="6A05A809" w14:textId="77777777">
                      <w:pPr>
                        <w:spacing w:before="0" w:after="0" w:line="240" w:lineRule="auto"/>
                        <w:jc w:val="center"/>
                        <w:textDirection w:val="btLr"/>
                      </w:pPr>
                    </w:p>
                    <w:p w:rsidR="008238E6" w:rsidRDefault="00D61AB3" w14:paraId="79FEF686" w14:textId="77777777">
                      <w:pPr>
                        <w:spacing w:before="0" w:after="0" w:line="240" w:lineRule="auto"/>
                        <w:jc w:val="center"/>
                        <w:textDirection w:val="btLr"/>
                      </w:pPr>
                      <w:r>
                        <w:rPr>
                          <w:color w:val="000000"/>
                          <w:sz w:val="52"/>
                        </w:rPr>
                        <w:t>Relatório de Análise Crítica</w:t>
                      </w:r>
                    </w:p>
                    <w:p w:rsidR="008238E6" w:rsidRDefault="00D61AB3" w14:paraId="50A5EE40" w14:textId="77777777">
                      <w:pPr>
                        <w:spacing w:before="0" w:after="0" w:line="240" w:lineRule="auto"/>
                        <w:jc w:val="center"/>
                        <w:textDirection w:val="btLr"/>
                      </w:pPr>
                      <w:r>
                        <w:rPr>
                          <w:color w:val="000000"/>
                          <w:sz w:val="32"/>
                        </w:rPr>
                        <w:t>Proposta de Atualização do Rol de Procedimentos e Eventos em Saúde</w:t>
                      </w:r>
                    </w:p>
                    <w:p w:rsidR="008238E6" w:rsidRDefault="008238E6" w14:paraId="5A39BBE3" w14:textId="77777777">
                      <w:pPr>
                        <w:textDirection w:val="btLr"/>
                      </w:pPr>
                    </w:p>
                    <w:p w:rsidR="008238E6" w:rsidRDefault="008238E6" w14:paraId="41C8F396" w14:textId="77777777">
                      <w:pPr>
                        <w:spacing w:line="240" w:lineRule="auto"/>
                        <w:jc w:val="center"/>
                        <w:textDirection w:val="btLr"/>
                      </w:pPr>
                    </w:p>
                    <w:p w:rsidR="008238E6" w:rsidRDefault="008238E6" w14:paraId="72A3D3EC" w14:textId="77777777">
                      <w:pPr>
                        <w:spacing w:line="240" w:lineRule="auto"/>
                        <w:jc w:val="center"/>
                        <w:textDirection w:val="btLr"/>
                      </w:pPr>
                    </w:p>
                    <w:p w:rsidR="008238E6" w:rsidRDefault="008238E6" w14:paraId="0D0B940D" w14:textId="77777777">
                      <w:pPr>
                        <w:spacing w:line="240" w:lineRule="auto"/>
                        <w:jc w:val="center"/>
                        <w:textDirection w:val="btLr"/>
                      </w:pPr>
                    </w:p>
                    <w:p w:rsidR="008238E6" w:rsidRDefault="00D61AB3" w14:paraId="34E290AE" w14:textId="77777777">
                      <w:pPr>
                        <w:spacing w:line="240" w:lineRule="auto"/>
                        <w:jc w:val="center"/>
                        <w:textDirection w:val="btLr"/>
                      </w:pPr>
                      <w:r>
                        <w:rPr>
                          <w:color w:val="44546A"/>
                          <w:sz w:val="40"/>
                        </w:rPr>
                        <w:t>Teste genético para diagnóstico de diabetes tipo MODY</w:t>
                      </w:r>
                    </w:p>
                    <w:p w:rsidR="008238E6" w:rsidRDefault="008238E6" w14:paraId="0E27B00A" w14:textId="77777777">
                      <w:pPr>
                        <w:textDirection w:val="btLr"/>
                      </w:pPr>
                    </w:p>
                    <w:p w:rsidR="008238E6" w:rsidRDefault="008238E6" w14:paraId="60061E4C" w14:textId="77777777">
                      <w:pPr>
                        <w:textDirection w:val="btLr"/>
                      </w:pPr>
                    </w:p>
                  </w:txbxContent>
                </v:textbox>
              </v:shape>
            </w:pict>
          </mc:Fallback>
        </mc:AlternateContent>
      </w:r>
    </w:p>
    <w:p w14:paraId="4FB5E770" w14:textId="77777777" w:rsidR="008238E6" w:rsidRDefault="008238E6"/>
    <w:p w14:paraId="4FB5E771" w14:textId="77777777" w:rsidR="008238E6" w:rsidRDefault="008238E6"/>
    <w:p w14:paraId="4FB5E772" w14:textId="77777777" w:rsidR="008238E6" w:rsidRDefault="008238E6"/>
    <w:p w14:paraId="4FB5E773" w14:textId="77777777" w:rsidR="008238E6" w:rsidRDefault="008238E6"/>
    <w:p w14:paraId="4FB5E774" w14:textId="77777777" w:rsidR="008238E6" w:rsidRDefault="008238E6"/>
    <w:p w14:paraId="4FB5E775" w14:textId="77777777" w:rsidR="008238E6" w:rsidRDefault="008238E6"/>
    <w:p w14:paraId="4FB5E776" w14:textId="77777777" w:rsidR="008238E6" w:rsidRDefault="008238E6"/>
    <w:p w14:paraId="4FB5E777" w14:textId="77777777" w:rsidR="008238E6" w:rsidRDefault="008238E6"/>
    <w:p w14:paraId="4FB5E778" w14:textId="77777777" w:rsidR="008238E6" w:rsidRDefault="008238E6"/>
    <w:p w14:paraId="4FB5E779" w14:textId="77777777" w:rsidR="008238E6" w:rsidRDefault="008238E6"/>
    <w:p w14:paraId="4FB5E77A" w14:textId="77777777" w:rsidR="008238E6" w:rsidRDefault="008238E6"/>
    <w:p w14:paraId="4FB5E77B" w14:textId="77777777" w:rsidR="008238E6" w:rsidRDefault="008238E6"/>
    <w:p w14:paraId="4FB5E77C" w14:textId="77777777" w:rsidR="008238E6" w:rsidRDefault="008238E6"/>
    <w:p w14:paraId="4FB5E77D" w14:textId="77777777" w:rsidR="008238E6" w:rsidRDefault="008238E6"/>
    <w:p w14:paraId="4FB5E77E" w14:textId="77777777" w:rsidR="008238E6" w:rsidRDefault="008238E6"/>
    <w:p w14:paraId="4FB5E77F" w14:textId="77777777" w:rsidR="008238E6" w:rsidRDefault="008238E6"/>
    <w:p w14:paraId="4FB5E780" w14:textId="77777777" w:rsidR="008238E6" w:rsidRDefault="008238E6"/>
    <w:p w14:paraId="4FB5E781" w14:textId="77777777" w:rsidR="008238E6" w:rsidRDefault="008238E6"/>
    <w:p w14:paraId="4FB5E782" w14:textId="77777777" w:rsidR="008238E6" w:rsidRDefault="008238E6">
      <w:pPr>
        <w:sectPr w:rsidR="008238E6">
          <w:headerReference w:type="default" r:id="rId12"/>
          <w:headerReference w:type="first" r:id="rId13"/>
          <w:pgSz w:w="11906" w:h="16838"/>
          <w:pgMar w:top="2115" w:right="1418" w:bottom="1134" w:left="1418" w:header="709" w:footer="709" w:gutter="0"/>
          <w:pgNumType w:start="5"/>
          <w:cols w:space="720"/>
        </w:sectPr>
      </w:pPr>
    </w:p>
    <w:p w14:paraId="4FB5E783" w14:textId="77777777" w:rsidR="008238E6" w:rsidRDefault="00D61AB3">
      <w:pPr>
        <w:pBdr>
          <w:top w:val="nil"/>
          <w:left w:val="nil"/>
          <w:bottom w:val="nil"/>
          <w:right w:val="nil"/>
          <w:between w:val="nil"/>
        </w:pBdr>
        <w:spacing w:before="0" w:after="0" w:line="276" w:lineRule="auto"/>
        <w:jc w:val="center"/>
        <w:rPr>
          <w:b/>
          <w:color w:val="000000"/>
          <w:sz w:val="28"/>
          <w:szCs w:val="28"/>
        </w:rPr>
      </w:pPr>
      <w:r>
        <w:rPr>
          <w:b/>
          <w:color w:val="000000"/>
          <w:sz w:val="28"/>
          <w:szCs w:val="28"/>
        </w:rPr>
        <w:t>AGÊNCIA NACIONAL DE SAÚDE SUPLEMENTAR</w:t>
      </w:r>
    </w:p>
    <w:p w14:paraId="4FB5E784" w14:textId="77777777" w:rsidR="008238E6" w:rsidRDefault="00D61AB3">
      <w:pPr>
        <w:pBdr>
          <w:top w:val="nil"/>
          <w:left w:val="nil"/>
          <w:bottom w:val="nil"/>
          <w:right w:val="nil"/>
          <w:between w:val="nil"/>
        </w:pBdr>
        <w:spacing w:before="0" w:after="0" w:line="276" w:lineRule="auto"/>
        <w:jc w:val="center"/>
        <w:rPr>
          <w:color w:val="000000"/>
          <w:sz w:val="28"/>
          <w:szCs w:val="28"/>
        </w:rPr>
      </w:pPr>
      <w:r>
        <w:rPr>
          <w:color w:val="000000"/>
          <w:sz w:val="28"/>
          <w:szCs w:val="28"/>
        </w:rPr>
        <w:t>Diretoria de Normas e Habilitação de Produtos</w:t>
      </w:r>
    </w:p>
    <w:p w14:paraId="4FB5E785" w14:textId="77777777" w:rsidR="008238E6" w:rsidRDefault="00D61AB3">
      <w:pPr>
        <w:pBdr>
          <w:top w:val="nil"/>
          <w:left w:val="nil"/>
          <w:bottom w:val="nil"/>
          <w:right w:val="nil"/>
          <w:between w:val="nil"/>
        </w:pBdr>
        <w:spacing w:before="0" w:after="0" w:line="276" w:lineRule="auto"/>
        <w:jc w:val="center"/>
        <w:rPr>
          <w:color w:val="000000"/>
          <w:sz w:val="28"/>
          <w:szCs w:val="28"/>
        </w:rPr>
      </w:pPr>
      <w:r>
        <w:rPr>
          <w:color w:val="000000"/>
          <w:sz w:val="28"/>
          <w:szCs w:val="28"/>
        </w:rPr>
        <w:t>Gerência Geral de Regulação Assistencial</w:t>
      </w:r>
    </w:p>
    <w:p w14:paraId="4FB5E786" w14:textId="77777777" w:rsidR="008238E6" w:rsidRDefault="00D61AB3">
      <w:pPr>
        <w:shd w:val="clear" w:color="auto" w:fill="FFFFFF"/>
        <w:spacing w:before="0" w:after="0" w:line="240" w:lineRule="auto"/>
        <w:jc w:val="center"/>
        <w:rPr>
          <w:sz w:val="28"/>
          <w:szCs w:val="28"/>
        </w:rPr>
      </w:pPr>
      <w:r>
        <w:rPr>
          <w:sz w:val="28"/>
          <w:szCs w:val="28"/>
        </w:rPr>
        <w:t>Gerência de Cobertura Assistencial e Incorporação de Tecnologias em Saúde</w:t>
      </w:r>
    </w:p>
    <w:p w14:paraId="4FB5E787" w14:textId="77777777" w:rsidR="008238E6" w:rsidRDefault="008238E6"/>
    <w:p w14:paraId="4FB5E788" w14:textId="77777777" w:rsidR="008238E6" w:rsidRDefault="008238E6"/>
    <w:p w14:paraId="4FB5E789" w14:textId="77777777" w:rsidR="008238E6" w:rsidRDefault="008238E6"/>
    <w:p w14:paraId="4FB5E78A" w14:textId="77777777" w:rsidR="008238E6" w:rsidRDefault="008238E6"/>
    <w:p w14:paraId="4FB5E78B" w14:textId="77777777" w:rsidR="008238E6" w:rsidRDefault="00D61AB3">
      <w:pPr>
        <w:pBdr>
          <w:top w:val="single" w:sz="4" w:space="1" w:color="000000"/>
          <w:left w:val="single" w:sz="4" w:space="4" w:color="000000"/>
          <w:bottom w:val="single" w:sz="4" w:space="1" w:color="000000"/>
          <w:right w:val="single" w:sz="4" w:space="4" w:color="000000"/>
          <w:between w:val="nil"/>
        </w:pBdr>
        <w:spacing w:line="240" w:lineRule="auto"/>
        <w:jc w:val="center"/>
        <w:rPr>
          <w:color w:val="44546A"/>
          <w:sz w:val="40"/>
          <w:szCs w:val="40"/>
        </w:rPr>
      </w:pPr>
      <w:r>
        <w:rPr>
          <w:color w:val="44546A"/>
          <w:sz w:val="40"/>
          <w:szCs w:val="40"/>
        </w:rPr>
        <w:t>Teste genético para diagnóstico de diabetes tipo MODY</w:t>
      </w:r>
    </w:p>
    <w:p w14:paraId="4FB5E78C" w14:textId="77777777" w:rsidR="008238E6" w:rsidRDefault="008238E6">
      <w:pPr>
        <w:spacing w:before="120" w:after="0"/>
        <w:jc w:val="left"/>
        <w:rPr>
          <w:sz w:val="24"/>
          <w:szCs w:val="24"/>
          <w:highlight w:val="yellow"/>
        </w:rPr>
      </w:pPr>
    </w:p>
    <w:p w14:paraId="4FB5E78D" w14:textId="77777777" w:rsidR="008238E6" w:rsidRDefault="008238E6">
      <w:pPr>
        <w:spacing w:before="120" w:after="0"/>
        <w:jc w:val="left"/>
        <w:rPr>
          <w:sz w:val="24"/>
          <w:szCs w:val="24"/>
          <w:highlight w:val="yellow"/>
        </w:rPr>
      </w:pPr>
    </w:p>
    <w:p w14:paraId="4FB5E78E" w14:textId="77777777" w:rsidR="008238E6" w:rsidRDefault="008238E6">
      <w:pPr>
        <w:spacing w:before="120" w:after="0"/>
        <w:jc w:val="left"/>
        <w:rPr>
          <w:sz w:val="24"/>
          <w:szCs w:val="24"/>
          <w:highlight w:val="yellow"/>
        </w:rPr>
      </w:pPr>
    </w:p>
    <w:p w14:paraId="4FB5E78F" w14:textId="77777777" w:rsidR="008238E6" w:rsidRDefault="008238E6">
      <w:pPr>
        <w:spacing w:before="120" w:after="0"/>
        <w:jc w:val="left"/>
        <w:rPr>
          <w:sz w:val="24"/>
          <w:szCs w:val="24"/>
          <w:highlight w:val="yellow"/>
        </w:rPr>
      </w:pPr>
    </w:p>
    <w:p w14:paraId="4FB5E790" w14:textId="77777777" w:rsidR="008238E6" w:rsidRDefault="008238E6">
      <w:pPr>
        <w:spacing w:before="120" w:after="0"/>
        <w:jc w:val="left"/>
        <w:rPr>
          <w:sz w:val="24"/>
          <w:szCs w:val="24"/>
          <w:highlight w:val="yellow"/>
        </w:rPr>
      </w:pPr>
    </w:p>
    <w:p w14:paraId="4FB5E791" w14:textId="77777777" w:rsidR="008238E6" w:rsidRDefault="008238E6">
      <w:pPr>
        <w:spacing w:before="120" w:after="0"/>
        <w:jc w:val="left"/>
        <w:rPr>
          <w:sz w:val="24"/>
          <w:szCs w:val="24"/>
          <w:highlight w:val="yellow"/>
        </w:rPr>
      </w:pPr>
    </w:p>
    <w:p w14:paraId="4FB5E792" w14:textId="77777777" w:rsidR="008238E6" w:rsidRDefault="008238E6">
      <w:pPr>
        <w:spacing w:before="120" w:after="0"/>
        <w:jc w:val="left"/>
        <w:rPr>
          <w:sz w:val="24"/>
          <w:szCs w:val="24"/>
          <w:highlight w:val="yellow"/>
        </w:rPr>
      </w:pPr>
    </w:p>
    <w:p w14:paraId="4FB5E793" w14:textId="77777777" w:rsidR="008238E6" w:rsidRDefault="008238E6">
      <w:pPr>
        <w:spacing w:before="120" w:after="0"/>
        <w:jc w:val="left"/>
        <w:rPr>
          <w:sz w:val="24"/>
          <w:szCs w:val="24"/>
          <w:highlight w:val="yellow"/>
        </w:rPr>
      </w:pPr>
    </w:p>
    <w:p w14:paraId="4FB5E794" w14:textId="77777777" w:rsidR="008238E6" w:rsidRDefault="008238E6">
      <w:pPr>
        <w:spacing w:before="120" w:after="0"/>
        <w:jc w:val="left"/>
        <w:rPr>
          <w:sz w:val="24"/>
          <w:szCs w:val="24"/>
          <w:highlight w:val="yellow"/>
        </w:rPr>
      </w:pPr>
    </w:p>
    <w:p w14:paraId="4FB5E795" w14:textId="77777777" w:rsidR="008238E6" w:rsidRDefault="008238E6">
      <w:pPr>
        <w:spacing w:before="120" w:after="0"/>
        <w:jc w:val="left"/>
        <w:rPr>
          <w:sz w:val="24"/>
          <w:szCs w:val="24"/>
          <w:highlight w:val="yellow"/>
        </w:rPr>
      </w:pPr>
    </w:p>
    <w:p w14:paraId="4FB5E796" w14:textId="77777777" w:rsidR="008238E6" w:rsidRDefault="008238E6">
      <w:pPr>
        <w:spacing w:before="120" w:after="0"/>
        <w:jc w:val="left"/>
        <w:rPr>
          <w:sz w:val="24"/>
          <w:szCs w:val="24"/>
          <w:highlight w:val="yellow"/>
        </w:rPr>
      </w:pPr>
    </w:p>
    <w:p w14:paraId="4FB5E797" w14:textId="77777777" w:rsidR="008238E6" w:rsidRDefault="008238E6">
      <w:pPr>
        <w:spacing w:before="120" w:after="0"/>
        <w:jc w:val="left"/>
        <w:rPr>
          <w:sz w:val="24"/>
          <w:szCs w:val="24"/>
          <w:highlight w:val="yellow"/>
        </w:rPr>
      </w:pPr>
    </w:p>
    <w:p w14:paraId="4FB5E798" w14:textId="77777777" w:rsidR="008238E6" w:rsidRDefault="008238E6">
      <w:pPr>
        <w:spacing w:before="120" w:after="0"/>
        <w:jc w:val="left"/>
        <w:rPr>
          <w:sz w:val="24"/>
          <w:szCs w:val="24"/>
          <w:highlight w:val="yellow"/>
        </w:rPr>
      </w:pPr>
    </w:p>
    <w:p w14:paraId="4FB5E799" w14:textId="77777777" w:rsidR="008238E6" w:rsidRDefault="00D61AB3">
      <w:pPr>
        <w:spacing w:before="0" w:after="0"/>
        <w:jc w:val="center"/>
        <w:rPr>
          <w:sz w:val="28"/>
          <w:szCs w:val="28"/>
        </w:rPr>
      </w:pPr>
      <w:r>
        <w:rPr>
          <w:sz w:val="28"/>
          <w:szCs w:val="28"/>
        </w:rPr>
        <w:t>Porto Alegre - RS</w:t>
      </w:r>
    </w:p>
    <w:p w14:paraId="4FB5E79A" w14:textId="77777777" w:rsidR="008238E6" w:rsidRDefault="00D61AB3">
      <w:pPr>
        <w:spacing w:before="0" w:after="0"/>
        <w:jc w:val="center"/>
        <w:rPr>
          <w:color w:val="44546A"/>
          <w:sz w:val="18"/>
          <w:szCs w:val="18"/>
        </w:rPr>
      </w:pPr>
      <w:r>
        <w:rPr>
          <w:color w:val="44546A"/>
          <w:sz w:val="28"/>
          <w:szCs w:val="28"/>
        </w:rPr>
        <w:t>30 de Agosto de 2024</w:t>
      </w:r>
      <w:r>
        <w:br w:type="page"/>
      </w:r>
    </w:p>
    <w:p w14:paraId="4FB5E79B" w14:textId="77777777" w:rsidR="008238E6" w:rsidRDefault="008238E6">
      <w:pPr>
        <w:keepNext/>
        <w:keepLines/>
        <w:pBdr>
          <w:top w:val="nil"/>
          <w:left w:val="nil"/>
          <w:bottom w:val="nil"/>
          <w:right w:val="nil"/>
          <w:between w:val="nil"/>
        </w:pBdr>
        <w:spacing w:before="0" w:after="0" w:line="240" w:lineRule="auto"/>
        <w:jc w:val="center"/>
        <w:rPr>
          <w:b/>
          <w:sz w:val="32"/>
          <w:szCs w:val="32"/>
        </w:rPr>
      </w:pPr>
    </w:p>
    <w:p w14:paraId="4FB5E79C" w14:textId="77777777" w:rsidR="008238E6" w:rsidRDefault="00D61AB3">
      <w:pPr>
        <w:keepNext/>
        <w:keepLines/>
        <w:pBdr>
          <w:top w:val="nil"/>
          <w:left w:val="nil"/>
          <w:bottom w:val="nil"/>
          <w:right w:val="nil"/>
          <w:between w:val="nil"/>
        </w:pBdr>
        <w:spacing w:before="0" w:after="0" w:line="240" w:lineRule="auto"/>
        <w:jc w:val="center"/>
        <w:rPr>
          <w:b/>
          <w:color w:val="000000"/>
          <w:sz w:val="32"/>
          <w:szCs w:val="32"/>
        </w:rPr>
      </w:pPr>
      <w:r>
        <w:rPr>
          <w:b/>
          <w:color w:val="000000"/>
          <w:sz w:val="32"/>
          <w:szCs w:val="32"/>
        </w:rPr>
        <w:t>Sumário</w:t>
      </w:r>
    </w:p>
    <w:sdt>
      <w:sdtPr>
        <w:id w:val="460234640"/>
        <w:docPartObj>
          <w:docPartGallery w:val="Table of Contents"/>
          <w:docPartUnique/>
        </w:docPartObj>
      </w:sdtPr>
      <w:sdtContent>
        <w:p w14:paraId="4FB5E79D" w14:textId="77777777" w:rsidR="008238E6" w:rsidRDefault="00D61AB3">
          <w:pPr>
            <w:widowControl w:val="0"/>
            <w:tabs>
              <w:tab w:val="right" w:leader="dot" w:pos="12000"/>
            </w:tabs>
            <w:spacing w:before="60" w:after="0" w:line="240" w:lineRule="auto"/>
            <w:jc w:val="left"/>
            <w:rPr>
              <w:rFonts w:ascii="Arial" w:eastAsia="Arial" w:hAnsi="Arial" w:cs="Arial"/>
              <w:b/>
              <w:color w:val="000000"/>
            </w:rPr>
          </w:pPr>
          <w:r>
            <w:fldChar w:fldCharType="begin"/>
          </w:r>
          <w:r>
            <w:instrText xml:space="preserve"> TOC \h \u \z \t "Heading 1,1,Heading 2,2,Heading 5,5,Heading 6,6,"</w:instrText>
          </w:r>
          <w:r>
            <w:fldChar w:fldCharType="separate"/>
          </w:r>
          <w:hyperlink w:anchor="_heading=h.1ksv4uv">
            <w:r w:rsidR="008238E6">
              <w:rPr>
                <w:color w:val="000000"/>
              </w:rPr>
              <w:t>1. IDENTIFICAÇÃO</w:t>
            </w:r>
            <w:r w:rsidR="008238E6">
              <w:rPr>
                <w:color w:val="000000"/>
              </w:rPr>
              <w:tab/>
              <w:t>10</w:t>
            </w:r>
          </w:hyperlink>
        </w:p>
        <w:p w14:paraId="4FB5E79E"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44sinio">
            <w:r>
              <w:rPr>
                <w:color w:val="000000"/>
              </w:rPr>
              <w:t>2. RESUMO EXECUTIVO</w:t>
            </w:r>
            <w:r>
              <w:rPr>
                <w:color w:val="000000"/>
              </w:rPr>
              <w:tab/>
              <w:t>11</w:t>
            </w:r>
          </w:hyperlink>
        </w:p>
        <w:p w14:paraId="4FB5E79F"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2jxsxqh">
            <w:r>
              <w:rPr>
                <w:color w:val="000000"/>
              </w:rPr>
              <w:t>3. CONDIÇÃO CLÍNICA</w:t>
            </w:r>
            <w:r>
              <w:rPr>
                <w:color w:val="000000"/>
              </w:rPr>
              <w:tab/>
              <w:t>18</w:t>
            </w:r>
          </w:hyperlink>
        </w:p>
        <w:p w14:paraId="4FB5E7A0"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xcytpi">
            <w:r>
              <w:rPr>
                <w:color w:val="000000"/>
              </w:rPr>
              <w:t>3.1. Aspectos clínicos e epidemiológicos</w:t>
            </w:r>
            <w:r>
              <w:rPr>
                <w:color w:val="000000"/>
              </w:rPr>
              <w:tab/>
              <w:t>18</w:t>
            </w:r>
          </w:hyperlink>
        </w:p>
        <w:p w14:paraId="4FB5E7A1"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ci93xb">
            <w:r>
              <w:rPr>
                <w:color w:val="000000"/>
              </w:rPr>
              <w:t>3.2. Tratamento recomendado</w:t>
            </w:r>
            <w:r>
              <w:rPr>
                <w:color w:val="000000"/>
              </w:rPr>
              <w:tab/>
              <w:t>20</w:t>
            </w:r>
          </w:hyperlink>
        </w:p>
        <w:p w14:paraId="4FB5E7A2"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3whwml4">
            <w:r>
              <w:rPr>
                <w:color w:val="000000"/>
              </w:rPr>
              <w:t>4. TECNOLOGIA</w:t>
            </w:r>
            <w:r>
              <w:rPr>
                <w:color w:val="000000"/>
              </w:rPr>
              <w:tab/>
              <w:t>25</w:t>
            </w:r>
          </w:hyperlink>
        </w:p>
        <w:p w14:paraId="4FB5E7A3"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bn6wsx">
            <w:r>
              <w:rPr>
                <w:color w:val="000000"/>
              </w:rPr>
              <w:t>4.1. Descrição</w:t>
            </w:r>
            <w:r>
              <w:rPr>
                <w:color w:val="000000"/>
              </w:rPr>
              <w:tab/>
              <w:t>25</w:t>
            </w:r>
          </w:hyperlink>
        </w:p>
        <w:p w14:paraId="4FB5E7A4"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qsh70q">
            <w:r>
              <w:rPr>
                <w:color w:val="000000"/>
              </w:rPr>
              <w:t>4.2. Ficha técnica</w:t>
            </w:r>
            <w:r>
              <w:rPr>
                <w:color w:val="000000"/>
              </w:rPr>
              <w:tab/>
              <w:t>26</w:t>
            </w:r>
          </w:hyperlink>
        </w:p>
        <w:p w14:paraId="4FB5E7A5"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
            <w:r>
              <w:rPr>
                <w:color w:val="000000"/>
              </w:rPr>
              <w:t>5. AVALIAÇÃO DE EFICÁCIA/EFETIVIDADE E SEGURANÇA</w:t>
            </w:r>
            <w:r>
              <w:rPr>
                <w:color w:val="000000"/>
              </w:rPr>
              <w:tab/>
              <w:t>27</w:t>
            </w:r>
          </w:hyperlink>
        </w:p>
        <w:p w14:paraId="4FB5E7A6"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47n2zr">
            <w:r>
              <w:rPr>
                <w:color w:val="000000"/>
              </w:rPr>
              <w:t>5.1. Pergunta estruturada</w:t>
            </w:r>
            <w:r>
              <w:rPr>
                <w:color w:val="000000"/>
              </w:rPr>
              <w:tab/>
              <w:t>28</w:t>
            </w:r>
          </w:hyperlink>
        </w:p>
        <w:p w14:paraId="4FB5E7A7"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hmsyys">
            <w:r>
              <w:rPr>
                <w:color w:val="000000"/>
              </w:rPr>
              <w:t>5.2. Critérios de elegibilidade</w:t>
            </w:r>
            <w:r>
              <w:rPr>
                <w:color w:val="000000"/>
              </w:rPr>
              <w:tab/>
              <w:t>30</w:t>
            </w:r>
          </w:hyperlink>
        </w:p>
        <w:p w14:paraId="4FB5E7A8"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grqrue">
            <w:r>
              <w:rPr>
                <w:color w:val="000000"/>
              </w:rPr>
              <w:t>5.3. Busca por evidências</w:t>
            </w:r>
            <w:r>
              <w:rPr>
                <w:color w:val="000000"/>
              </w:rPr>
              <w:tab/>
              <w:t>31</w:t>
            </w:r>
          </w:hyperlink>
        </w:p>
        <w:p w14:paraId="4FB5E7A9"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
            <w:r>
              <w:rPr>
                <w:color w:val="000000"/>
              </w:rPr>
              <w:t>5.4. Seleção de estudos e extração de dados</w:t>
            </w:r>
            <w:r>
              <w:rPr>
                <w:color w:val="000000"/>
              </w:rPr>
              <w:tab/>
              <w:t>34</w:t>
            </w:r>
          </w:hyperlink>
        </w:p>
        <w:p w14:paraId="4FB5E7AA"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v1yuxt">
            <w:r>
              <w:rPr>
                <w:color w:val="000000"/>
              </w:rPr>
              <w:t>5.5. Resultados</w:t>
            </w:r>
            <w:r>
              <w:rPr>
                <w:color w:val="000000"/>
              </w:rPr>
              <w:tab/>
              <w:t>45</w:t>
            </w:r>
          </w:hyperlink>
        </w:p>
        <w:p w14:paraId="4FB5E7AB"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u6wntf">
            <w:r>
              <w:rPr>
                <w:color w:val="000000"/>
              </w:rPr>
              <w:t>5.6 Discussão e conclusões</w:t>
            </w:r>
            <w:r>
              <w:rPr>
                <w:color w:val="000000"/>
              </w:rPr>
              <w:tab/>
              <w:t>60</w:t>
            </w:r>
          </w:hyperlink>
        </w:p>
        <w:p w14:paraId="4FB5E7AC"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9c6y18">
            <w:r>
              <w:rPr>
                <w:color w:val="000000"/>
              </w:rPr>
              <w:t>5.7 Elementos pós-texto</w:t>
            </w:r>
            <w:r>
              <w:rPr>
                <w:color w:val="000000"/>
              </w:rPr>
              <w:tab/>
              <w:t>62</w:t>
            </w:r>
          </w:hyperlink>
        </w:p>
        <w:p w14:paraId="4FB5E7AD"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3tbugp1">
            <w:r>
              <w:rPr>
                <w:color w:val="000000"/>
              </w:rPr>
              <w:t>6. AVALIAÇÃO ECONÔMICA</w:t>
            </w:r>
            <w:r>
              <w:rPr>
                <w:color w:val="000000"/>
              </w:rPr>
              <w:tab/>
              <w:t>64</w:t>
            </w:r>
          </w:hyperlink>
        </w:p>
        <w:p w14:paraId="4FB5E7AE"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nmf14n">
            <w:r>
              <w:rPr>
                <w:color w:val="000000"/>
              </w:rPr>
              <w:t>6.1 Métodos</w:t>
            </w:r>
            <w:r>
              <w:rPr>
                <w:color w:val="000000"/>
              </w:rPr>
              <w:tab/>
              <w:t>65</w:t>
            </w:r>
          </w:hyperlink>
        </w:p>
        <w:p w14:paraId="4FB5E7AF"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37m2jsg">
            <w:r>
              <w:rPr>
                <w:color w:val="000000"/>
              </w:rPr>
              <w:t>6.2 Resultados</w:t>
            </w:r>
            <w:r>
              <w:rPr>
                <w:color w:val="000000"/>
              </w:rPr>
              <w:tab/>
              <w:t>70</w:t>
            </w:r>
          </w:hyperlink>
        </w:p>
        <w:p w14:paraId="4FB5E7B0"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
            <w:r>
              <w:rPr>
                <w:color w:val="000000"/>
              </w:rPr>
              <w:t>6.3 Discussão e conclusões</w:t>
            </w:r>
            <w:r>
              <w:rPr>
                <w:color w:val="000000"/>
              </w:rPr>
              <w:tab/>
              <w:t>73</w:t>
            </w:r>
          </w:hyperlink>
        </w:p>
        <w:p w14:paraId="4FB5E7B1"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lwamvv">
            <w:r>
              <w:rPr>
                <w:color w:val="000000"/>
              </w:rPr>
              <w:t>6.4 Elementos pós-texto</w:t>
            </w:r>
            <w:r>
              <w:rPr>
                <w:color w:val="000000"/>
              </w:rPr>
              <w:tab/>
              <w:t>74</w:t>
            </w:r>
          </w:hyperlink>
        </w:p>
        <w:p w14:paraId="4FB5E7B2"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111kx3o">
            <w:r>
              <w:rPr>
                <w:color w:val="000000"/>
              </w:rPr>
              <w:t>7. ANÁLISE DE IMPACTO ORÇAMENTÁRIO</w:t>
            </w:r>
            <w:r>
              <w:rPr>
                <w:color w:val="000000"/>
              </w:rPr>
              <w:tab/>
              <w:t>75</w:t>
            </w:r>
          </w:hyperlink>
        </w:p>
        <w:p w14:paraId="4FB5E7B3"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206ipza">
            <w:r>
              <w:rPr>
                <w:color w:val="000000"/>
              </w:rPr>
              <w:t>7.1 Métodos</w:t>
            </w:r>
            <w:r>
              <w:rPr>
                <w:color w:val="000000"/>
              </w:rPr>
              <w:tab/>
              <w:t>75</w:t>
            </w:r>
          </w:hyperlink>
        </w:p>
        <w:p w14:paraId="4FB5E7B4"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4k668n3">
            <w:r>
              <w:rPr>
                <w:color w:val="000000"/>
              </w:rPr>
              <w:t>7.2 Resultados</w:t>
            </w:r>
            <w:r>
              <w:rPr>
                <w:color w:val="000000"/>
              </w:rPr>
              <w:tab/>
              <w:t>83</w:t>
            </w:r>
          </w:hyperlink>
        </w:p>
        <w:p w14:paraId="4FB5E7B5"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egqt2p">
            <w:r>
              <w:rPr>
                <w:color w:val="000000"/>
              </w:rPr>
              <w:t>7.3 Discussão e conclusões</w:t>
            </w:r>
            <w:r>
              <w:rPr>
                <w:color w:val="000000"/>
              </w:rPr>
              <w:tab/>
              <w:t>91</w:t>
            </w:r>
          </w:hyperlink>
        </w:p>
        <w:p w14:paraId="4FB5E7B6"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3cqmetx">
            <w:r>
              <w:rPr>
                <w:color w:val="000000"/>
              </w:rPr>
              <w:t>7.4 Elementos pós-texto</w:t>
            </w:r>
            <w:r>
              <w:rPr>
                <w:color w:val="000000"/>
              </w:rPr>
              <w:tab/>
              <w:t>94</w:t>
            </w:r>
          </w:hyperlink>
        </w:p>
        <w:p w14:paraId="4FB5E7B7"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1rvwp1q">
            <w:r>
              <w:rPr>
                <w:color w:val="000000"/>
              </w:rPr>
              <w:t>8. CONSIDERAÇÕES FINAIS</w:t>
            </w:r>
            <w:r>
              <w:rPr>
                <w:color w:val="000000"/>
              </w:rPr>
              <w:tab/>
              <w:t>95</w:t>
            </w:r>
          </w:hyperlink>
        </w:p>
        <w:p w14:paraId="4FB5E7B8"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4bvk7pj">
            <w:r>
              <w:rPr>
                <w:color w:val="000000"/>
              </w:rPr>
              <w:t>8.1 Avaliação por outras agências de ATS</w:t>
            </w:r>
            <w:r>
              <w:rPr>
                <w:color w:val="000000"/>
              </w:rPr>
              <w:tab/>
              <w:t>95</w:t>
            </w:r>
          </w:hyperlink>
        </w:p>
        <w:p w14:paraId="4FB5E7B9"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1664s55">
            <w:r>
              <w:rPr>
                <w:color w:val="000000"/>
              </w:rPr>
              <w:t>8.2 Considerações sobre a implementação</w:t>
            </w:r>
            <w:r>
              <w:rPr>
                <w:color w:val="000000"/>
              </w:rPr>
              <w:tab/>
              <w:t>95</w:t>
            </w:r>
          </w:hyperlink>
        </w:p>
        <w:p w14:paraId="4FB5E7BA" w14:textId="77777777" w:rsidR="008238E6" w:rsidRDefault="008238E6">
          <w:pPr>
            <w:widowControl w:val="0"/>
            <w:tabs>
              <w:tab w:val="right" w:leader="dot" w:pos="12000"/>
            </w:tabs>
            <w:spacing w:before="60" w:after="0" w:line="240" w:lineRule="auto"/>
            <w:ind w:left="360"/>
            <w:jc w:val="left"/>
            <w:rPr>
              <w:rFonts w:ascii="Arial" w:eastAsia="Arial" w:hAnsi="Arial" w:cs="Arial"/>
              <w:color w:val="000000"/>
            </w:rPr>
          </w:pPr>
          <w:hyperlink w:anchor="_heading=h.3q5sasy">
            <w:r>
              <w:rPr>
                <w:color w:val="000000"/>
              </w:rPr>
              <w:t>8.3. Conclusões</w:t>
            </w:r>
            <w:r>
              <w:rPr>
                <w:color w:val="000000"/>
              </w:rPr>
              <w:tab/>
              <w:t>95</w:t>
            </w:r>
          </w:hyperlink>
        </w:p>
        <w:p w14:paraId="4FB5E7BB"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34g0dwd">
            <w:r>
              <w:rPr>
                <w:color w:val="000000"/>
              </w:rPr>
              <w:t>9. REFERÊNCIAS</w:t>
            </w:r>
            <w:r>
              <w:rPr>
                <w:color w:val="000000"/>
              </w:rPr>
              <w:tab/>
              <w:t>97</w:t>
            </w:r>
          </w:hyperlink>
        </w:p>
        <w:p w14:paraId="4FB5E7BC" w14:textId="77777777" w:rsidR="008238E6" w:rsidRDefault="008238E6">
          <w:pPr>
            <w:widowControl w:val="0"/>
            <w:tabs>
              <w:tab w:val="right" w:leader="dot" w:pos="12000"/>
            </w:tabs>
            <w:spacing w:before="60" w:after="0" w:line="240" w:lineRule="auto"/>
            <w:jc w:val="left"/>
            <w:rPr>
              <w:rFonts w:ascii="Arial" w:eastAsia="Arial" w:hAnsi="Arial" w:cs="Arial"/>
              <w:b/>
              <w:color w:val="000000"/>
            </w:rPr>
          </w:pPr>
          <w:hyperlink w:anchor="_heading=h.1jlao46">
            <w:r>
              <w:rPr>
                <w:color w:val="000000"/>
              </w:rPr>
              <w:t>10. ANEXOS</w:t>
            </w:r>
            <w:r>
              <w:rPr>
                <w:color w:val="000000"/>
              </w:rPr>
              <w:tab/>
              <w:t>0</w:t>
            </w:r>
          </w:hyperlink>
          <w:r w:rsidR="00D61AB3">
            <w:fldChar w:fldCharType="end"/>
          </w:r>
        </w:p>
      </w:sdtContent>
    </w:sdt>
    <w:p w14:paraId="4FB5E7BD" w14:textId="77777777" w:rsidR="008238E6" w:rsidRDefault="008238E6">
      <w:pPr>
        <w:keepNext/>
        <w:keepLines/>
        <w:pBdr>
          <w:top w:val="nil"/>
          <w:left w:val="nil"/>
          <w:bottom w:val="nil"/>
          <w:right w:val="nil"/>
          <w:between w:val="nil"/>
        </w:pBdr>
        <w:spacing w:before="0" w:after="0" w:line="240" w:lineRule="auto"/>
        <w:jc w:val="center"/>
        <w:rPr>
          <w:b/>
          <w:sz w:val="32"/>
          <w:szCs w:val="32"/>
        </w:rPr>
        <w:sectPr w:rsidR="008238E6">
          <w:headerReference w:type="default" r:id="rId14"/>
          <w:pgSz w:w="11906" w:h="16838"/>
          <w:pgMar w:top="2115" w:right="1418" w:bottom="1134" w:left="1418" w:header="709" w:footer="709" w:gutter="0"/>
          <w:cols w:space="720"/>
        </w:sectPr>
      </w:pPr>
    </w:p>
    <w:p w14:paraId="4FB5E7BE" w14:textId="77777777" w:rsidR="008238E6" w:rsidRDefault="00D61AB3">
      <w:pPr>
        <w:spacing w:before="120"/>
      </w:pPr>
      <w:r>
        <w:rPr>
          <w:b/>
          <w:sz w:val="28"/>
          <w:szCs w:val="28"/>
        </w:rPr>
        <w:t>LISTA DE FIGURAS</w:t>
      </w:r>
    </w:p>
    <w:sdt>
      <w:sdtPr>
        <w:id w:val="571549230"/>
        <w:docPartObj>
          <w:docPartGallery w:val="Table of Contents"/>
          <w:docPartUnique/>
        </w:docPartObj>
      </w:sdtPr>
      <w:sdtContent>
        <w:p w14:paraId="4FB5E7BF" w14:textId="77777777" w:rsidR="008238E6" w:rsidRDefault="00D61AB3">
          <w:pPr>
            <w:widowControl w:val="0"/>
            <w:tabs>
              <w:tab w:val="right" w:leader="dot" w:pos="12000"/>
            </w:tabs>
            <w:spacing w:before="60" w:after="0" w:line="240" w:lineRule="auto"/>
            <w:jc w:val="left"/>
            <w:rPr>
              <w:color w:val="000000"/>
            </w:rPr>
          </w:pPr>
          <w:r>
            <w:fldChar w:fldCharType="begin"/>
          </w:r>
          <w:r>
            <w:instrText xml:space="preserve"> TOC \h \u \z \t "Heading 3,1,Heading 5,5,Heading 6,6,"</w:instrText>
          </w:r>
          <w:r>
            <w:fldChar w:fldCharType="separate"/>
          </w:r>
          <w:hyperlink w:anchor="_heading=h.2vaupbki62cs">
            <w:r w:rsidR="008238E6">
              <w:rPr>
                <w:b/>
                <w:color w:val="000000"/>
              </w:rPr>
              <w:t xml:space="preserve">Figura 1. </w:t>
            </w:r>
          </w:hyperlink>
          <w:hyperlink w:anchor="_heading=h.2vaupbki62cs">
            <w:r w:rsidR="008238E6">
              <w:rPr>
                <w:color w:val="000000"/>
              </w:rPr>
              <w:t>Fluxograma proposto pelo PROPONENTE.</w:t>
            </w:r>
            <w:r w:rsidR="008238E6">
              <w:rPr>
                <w:color w:val="000000"/>
              </w:rPr>
              <w:tab/>
              <w:t>23</w:t>
            </w:r>
          </w:hyperlink>
        </w:p>
        <w:p w14:paraId="4FB5E7C0"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x038yw8fdv8x">
            <w:r>
              <w:rPr>
                <w:b/>
                <w:color w:val="000000"/>
              </w:rPr>
              <w:t xml:space="preserve">Figura 2. </w:t>
            </w:r>
          </w:hyperlink>
          <w:hyperlink w:anchor="_heading=h.x038yw8fdv8x">
            <w:r>
              <w:rPr>
                <w:color w:val="000000"/>
              </w:rPr>
              <w:t>Fluxograma da seleção dos estudos apresentado pelo PROPONENTE.</w:t>
            </w:r>
            <w:r>
              <w:rPr>
                <w:color w:val="000000"/>
              </w:rPr>
              <w:tab/>
              <w:t>36</w:t>
            </w:r>
          </w:hyperlink>
        </w:p>
        <w:p w14:paraId="4FB5E7C1"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m9senumo09kc">
            <w:r>
              <w:rPr>
                <w:b/>
                <w:color w:val="000000"/>
              </w:rPr>
              <w:t xml:space="preserve">Figura 3.  </w:t>
            </w:r>
          </w:hyperlink>
          <w:hyperlink w:anchor="_heading=h.m9senumo09kc">
            <w:r>
              <w:rPr>
                <w:color w:val="000000"/>
              </w:rPr>
              <w:t>Fluxograma da seleção dos estudos, versão do PARECERISTA.</w:t>
            </w:r>
            <w:r>
              <w:rPr>
                <w:color w:val="000000"/>
              </w:rPr>
              <w:tab/>
              <w:t>37</w:t>
            </w:r>
          </w:hyperlink>
          <w:r w:rsidR="00D61AB3">
            <w:fldChar w:fldCharType="end"/>
          </w:r>
        </w:p>
      </w:sdtContent>
    </w:sdt>
    <w:p w14:paraId="4FB5E7C2" w14:textId="77777777" w:rsidR="008238E6" w:rsidRDefault="008238E6">
      <w:pPr>
        <w:spacing w:before="120"/>
      </w:pPr>
    </w:p>
    <w:p w14:paraId="4FB5E7C3" w14:textId="77777777" w:rsidR="008238E6" w:rsidRDefault="008238E6">
      <w:pPr>
        <w:spacing w:before="120"/>
        <w:rPr>
          <w:b/>
          <w:sz w:val="28"/>
          <w:szCs w:val="28"/>
        </w:rPr>
      </w:pPr>
    </w:p>
    <w:p w14:paraId="4FB5E7C4" w14:textId="77777777" w:rsidR="008238E6" w:rsidRDefault="008238E6">
      <w:pPr>
        <w:spacing w:before="120"/>
        <w:rPr>
          <w:b/>
          <w:sz w:val="28"/>
          <w:szCs w:val="28"/>
        </w:rPr>
      </w:pPr>
    </w:p>
    <w:p w14:paraId="4FB5E7C5" w14:textId="77777777" w:rsidR="008238E6" w:rsidRDefault="008238E6">
      <w:pPr>
        <w:spacing w:before="120"/>
        <w:rPr>
          <w:b/>
          <w:sz w:val="28"/>
          <w:szCs w:val="28"/>
        </w:rPr>
      </w:pPr>
    </w:p>
    <w:p w14:paraId="4FB5E7C6" w14:textId="77777777" w:rsidR="008238E6" w:rsidRDefault="008238E6">
      <w:pPr>
        <w:spacing w:before="120"/>
        <w:rPr>
          <w:b/>
          <w:sz w:val="28"/>
          <w:szCs w:val="28"/>
        </w:rPr>
      </w:pPr>
    </w:p>
    <w:p w14:paraId="4FB5E7C7" w14:textId="77777777" w:rsidR="008238E6" w:rsidRDefault="008238E6">
      <w:pPr>
        <w:spacing w:before="120"/>
        <w:rPr>
          <w:b/>
          <w:sz w:val="28"/>
          <w:szCs w:val="28"/>
        </w:rPr>
      </w:pPr>
    </w:p>
    <w:p w14:paraId="4FB5E7C8" w14:textId="77777777" w:rsidR="008238E6" w:rsidRDefault="008238E6">
      <w:pPr>
        <w:spacing w:before="120"/>
        <w:rPr>
          <w:b/>
          <w:sz w:val="28"/>
          <w:szCs w:val="28"/>
        </w:rPr>
      </w:pPr>
    </w:p>
    <w:p w14:paraId="4FB5E7C9" w14:textId="77777777" w:rsidR="008238E6" w:rsidRDefault="008238E6">
      <w:pPr>
        <w:spacing w:before="120"/>
        <w:rPr>
          <w:b/>
          <w:sz w:val="28"/>
          <w:szCs w:val="28"/>
        </w:rPr>
      </w:pPr>
    </w:p>
    <w:p w14:paraId="4FB5E7CA" w14:textId="77777777" w:rsidR="008238E6" w:rsidRDefault="008238E6">
      <w:pPr>
        <w:spacing w:before="120"/>
        <w:rPr>
          <w:b/>
          <w:sz w:val="28"/>
          <w:szCs w:val="28"/>
        </w:rPr>
      </w:pPr>
    </w:p>
    <w:p w14:paraId="4FB5E7CB" w14:textId="77777777" w:rsidR="008238E6" w:rsidRDefault="008238E6">
      <w:pPr>
        <w:spacing w:before="120"/>
        <w:rPr>
          <w:b/>
          <w:sz w:val="28"/>
          <w:szCs w:val="28"/>
        </w:rPr>
      </w:pPr>
    </w:p>
    <w:p w14:paraId="4FB5E7CC" w14:textId="77777777" w:rsidR="008238E6" w:rsidRDefault="008238E6">
      <w:pPr>
        <w:spacing w:before="120"/>
        <w:rPr>
          <w:b/>
          <w:sz w:val="28"/>
          <w:szCs w:val="28"/>
        </w:rPr>
      </w:pPr>
    </w:p>
    <w:p w14:paraId="4FB5E7CD" w14:textId="77777777" w:rsidR="008238E6" w:rsidRDefault="008238E6">
      <w:pPr>
        <w:spacing w:before="120"/>
        <w:rPr>
          <w:b/>
          <w:sz w:val="28"/>
          <w:szCs w:val="28"/>
        </w:rPr>
      </w:pPr>
    </w:p>
    <w:p w14:paraId="4FB5E7CE" w14:textId="77777777" w:rsidR="008238E6" w:rsidRDefault="008238E6">
      <w:pPr>
        <w:spacing w:before="120"/>
        <w:rPr>
          <w:b/>
          <w:sz w:val="28"/>
          <w:szCs w:val="28"/>
        </w:rPr>
      </w:pPr>
    </w:p>
    <w:p w14:paraId="4FB5E7CF" w14:textId="77777777" w:rsidR="008238E6" w:rsidRDefault="008238E6">
      <w:pPr>
        <w:spacing w:before="120"/>
        <w:rPr>
          <w:b/>
          <w:sz w:val="28"/>
          <w:szCs w:val="28"/>
        </w:rPr>
      </w:pPr>
    </w:p>
    <w:p w14:paraId="4FB5E7D0" w14:textId="77777777" w:rsidR="008238E6" w:rsidRDefault="008238E6">
      <w:pPr>
        <w:spacing w:before="120"/>
        <w:rPr>
          <w:b/>
          <w:sz w:val="28"/>
          <w:szCs w:val="28"/>
        </w:rPr>
      </w:pPr>
    </w:p>
    <w:p w14:paraId="4FB5E7D1" w14:textId="77777777" w:rsidR="008238E6" w:rsidRDefault="008238E6">
      <w:pPr>
        <w:spacing w:before="120"/>
        <w:rPr>
          <w:b/>
          <w:sz w:val="28"/>
          <w:szCs w:val="28"/>
        </w:rPr>
      </w:pPr>
    </w:p>
    <w:p w14:paraId="4FB5E7D2" w14:textId="77777777" w:rsidR="008238E6" w:rsidRDefault="00D61AB3">
      <w:pPr>
        <w:spacing w:before="120"/>
        <w:rPr>
          <w:b/>
        </w:rPr>
      </w:pPr>
      <w:r>
        <w:rPr>
          <w:b/>
          <w:sz w:val="28"/>
          <w:szCs w:val="28"/>
        </w:rPr>
        <w:t>LISTA DE QUADROS</w:t>
      </w:r>
    </w:p>
    <w:sdt>
      <w:sdtPr>
        <w:id w:val="-36900899"/>
        <w:docPartObj>
          <w:docPartGallery w:val="Table of Contents"/>
          <w:docPartUnique/>
        </w:docPartObj>
      </w:sdtPr>
      <w:sdtContent>
        <w:p w14:paraId="4FB5E7D3" w14:textId="77777777" w:rsidR="008238E6" w:rsidRDefault="00D61AB3">
          <w:pPr>
            <w:widowControl w:val="0"/>
            <w:tabs>
              <w:tab w:val="right" w:leader="dot" w:pos="12000"/>
            </w:tabs>
            <w:spacing w:before="60" w:after="0" w:line="240" w:lineRule="auto"/>
            <w:jc w:val="left"/>
            <w:rPr>
              <w:rFonts w:ascii="Arial" w:eastAsia="Arial" w:hAnsi="Arial" w:cs="Arial"/>
              <w:color w:val="000000"/>
            </w:rPr>
          </w:pPr>
          <w:r>
            <w:fldChar w:fldCharType="begin"/>
          </w:r>
          <w:r>
            <w:instrText xml:space="preserve"> TOC \h \u \z \t "Heading 4,1,Heading 5,5,Heading 6,6,"</w:instrText>
          </w:r>
          <w:r>
            <w:fldChar w:fldCharType="separate"/>
          </w:r>
          <w:hyperlink w:anchor="_heading=">
            <w:r w:rsidR="008238E6">
              <w:rPr>
                <w:b/>
                <w:color w:val="000000"/>
              </w:rPr>
              <w:t xml:space="preserve">Quadro 1. </w:t>
            </w:r>
          </w:hyperlink>
          <w:hyperlink w:anchor="_heading=">
            <w:r w:rsidR="008238E6">
              <w:rPr>
                <w:color w:val="000000"/>
              </w:rPr>
              <w:t>Identificação da(s) proposta(s) de atualização do rol analisada(s) no presente documento.</w:t>
            </w:r>
            <w:r w:rsidR="008238E6">
              <w:rPr>
                <w:color w:val="000000"/>
              </w:rPr>
              <w:tab/>
              <w:t>10</w:t>
            </w:r>
          </w:hyperlink>
        </w:p>
        <w:p w14:paraId="4FB5E7D4"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kdj8tj9w1761">
            <w:r>
              <w:rPr>
                <w:b/>
                <w:color w:val="000000"/>
              </w:rPr>
              <w:t xml:space="preserve">Quadro 2. </w:t>
            </w:r>
          </w:hyperlink>
          <w:hyperlink w:anchor="_heading=h.kdj8tj9w1761">
            <w:r>
              <w:rPr>
                <w:color w:val="000000"/>
              </w:rPr>
              <w:t>Resumo executivo.</w:t>
            </w:r>
            <w:r>
              <w:rPr>
                <w:color w:val="000000"/>
              </w:rPr>
              <w:tab/>
              <w:t>11</w:t>
            </w:r>
          </w:hyperlink>
        </w:p>
        <w:p w14:paraId="4FB5E7D5"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ue8qy2ubh7qj">
            <w:r>
              <w:rPr>
                <w:b/>
                <w:color w:val="000000"/>
              </w:rPr>
              <w:t xml:space="preserve">Quadro 3. </w:t>
            </w:r>
          </w:hyperlink>
          <w:hyperlink w:anchor="_heading=h.ue8qy2ubh7qj">
            <w:r>
              <w:rPr>
                <w:color w:val="000000"/>
              </w:rPr>
              <w:t>Ficha técnica da tecnologia.</w:t>
            </w:r>
            <w:r>
              <w:rPr>
                <w:color w:val="000000"/>
              </w:rPr>
              <w:tab/>
              <w:t>26</w:t>
            </w:r>
          </w:hyperlink>
        </w:p>
        <w:p w14:paraId="4FB5E7D6"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ihv636">
            <w:r>
              <w:rPr>
                <w:b/>
                <w:color w:val="000000"/>
              </w:rPr>
              <w:t xml:space="preserve">Quadro 4. </w:t>
            </w:r>
          </w:hyperlink>
          <w:hyperlink w:anchor="_heading=h.ihv636">
            <w:r>
              <w:rPr>
                <w:color w:val="000000"/>
              </w:rPr>
              <w:t>Pergunta estruturada (PICOS) (versão do PROPONENTE e do PARECERISTA).</w:t>
            </w:r>
            <w:r>
              <w:rPr>
                <w:color w:val="000000"/>
              </w:rPr>
              <w:tab/>
              <w:t>28</w:t>
            </w:r>
          </w:hyperlink>
        </w:p>
        <w:p w14:paraId="4FB5E7D7"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igkzz3cs2dpj">
            <w:r>
              <w:rPr>
                <w:b/>
                <w:color w:val="000000"/>
              </w:rPr>
              <w:t xml:space="preserve">Quadro 5. </w:t>
            </w:r>
          </w:hyperlink>
          <w:hyperlink w:anchor="_heading=h.igkzz3cs2dpj">
            <w:r>
              <w:rPr>
                <w:color w:val="000000"/>
              </w:rPr>
              <w:t>Critérios de elegibilidade (versão do PROPONENTE e do PARECERISTA).</w:t>
            </w:r>
            <w:r>
              <w:rPr>
                <w:color w:val="000000"/>
              </w:rPr>
              <w:tab/>
              <w:t>30</w:t>
            </w:r>
          </w:hyperlink>
        </w:p>
        <w:p w14:paraId="4FB5E7D8"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3ey4zxhab429">
            <w:r>
              <w:rPr>
                <w:b/>
                <w:color w:val="000000"/>
              </w:rPr>
              <w:t xml:space="preserve">Quadro 6. </w:t>
            </w:r>
          </w:hyperlink>
          <w:hyperlink w:anchor="_heading=h.3ey4zxhab429">
            <w:r>
              <w:rPr>
                <w:color w:val="000000"/>
              </w:rPr>
              <w:t>Estratégias de busca em bases eletrônicas (versão do PROPONENTE e do PARECERISTA).</w:t>
            </w:r>
            <w:r>
              <w:rPr>
                <w:color w:val="000000"/>
              </w:rPr>
              <w:tab/>
              <w:t>31</w:t>
            </w:r>
          </w:hyperlink>
        </w:p>
        <w:p w14:paraId="4FB5E7D9"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r7jqil7ahdb8">
            <w:r>
              <w:rPr>
                <w:b/>
                <w:color w:val="000000"/>
              </w:rPr>
              <w:t>Quadro 7.</w:t>
            </w:r>
          </w:hyperlink>
          <w:hyperlink w:anchor="_heading=h.r7jqil7ahdb8">
            <w:r>
              <w:rPr>
                <w:color w:val="000000"/>
              </w:rPr>
              <w:t xml:space="preserve"> Fontes de buscas adicionais (versão do PROPONENTE e do PARECERISTA).</w:t>
            </w:r>
            <w:r>
              <w:rPr>
                <w:color w:val="000000"/>
              </w:rPr>
              <w:tab/>
              <w:t>33</w:t>
            </w:r>
          </w:hyperlink>
        </w:p>
        <w:p w14:paraId="4FB5E7DA"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x0ycb0yo4woy">
            <w:r>
              <w:rPr>
                <w:b/>
                <w:color w:val="000000"/>
              </w:rPr>
              <w:t xml:space="preserve">Quadro 8. </w:t>
            </w:r>
          </w:hyperlink>
          <w:hyperlink w:anchor="_heading=h.x0ycb0yo4woy">
            <w:r>
              <w:rPr>
                <w:color w:val="000000"/>
              </w:rPr>
              <w:t>Características do processo de seleção dos estudos e extração de dados (versão do PROPONENTE e do PARECERISTA).</w:t>
            </w:r>
            <w:r>
              <w:rPr>
                <w:color w:val="000000"/>
              </w:rPr>
              <w:tab/>
              <w:t>34</w:t>
            </w:r>
          </w:hyperlink>
        </w:p>
        <w:p w14:paraId="4FB5E7DB"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m23sujff8594">
            <w:r>
              <w:rPr>
                <w:b/>
                <w:color w:val="000000"/>
              </w:rPr>
              <w:t xml:space="preserve">Quadro 9. </w:t>
            </w:r>
          </w:hyperlink>
          <w:hyperlink w:anchor="_heading=h.m23sujff8594">
            <w:r>
              <w:rPr>
                <w:color w:val="000000"/>
              </w:rPr>
              <w:t>Estudos excluídos e razões para exclusão (versão do PROPONENTE e do PARECERISTA).</w:t>
            </w:r>
            <w:r>
              <w:rPr>
                <w:color w:val="000000"/>
              </w:rPr>
              <w:tab/>
              <w:t>38</w:t>
            </w:r>
          </w:hyperlink>
        </w:p>
        <w:p w14:paraId="4FB5E7DC"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h99ipx5xaucs">
            <w:r>
              <w:rPr>
                <w:b/>
                <w:color w:val="000000"/>
              </w:rPr>
              <w:t xml:space="preserve">Quadro 10. </w:t>
            </w:r>
          </w:hyperlink>
          <w:hyperlink w:anchor="_heading=h.h99ipx5xaucs">
            <w:r>
              <w:rPr>
                <w:color w:val="000000"/>
              </w:rPr>
              <w:t>Estudos em andamento (versão do PROPONENTE e do PARECERISTA).</w:t>
            </w:r>
            <w:r>
              <w:rPr>
                <w:color w:val="000000"/>
              </w:rPr>
              <w:tab/>
              <w:t>41</w:t>
            </w:r>
          </w:hyperlink>
        </w:p>
        <w:p w14:paraId="4FB5E7DD"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l45xs17kwchx">
            <w:r>
              <w:rPr>
                <w:b/>
                <w:color w:val="000000"/>
              </w:rPr>
              <w:t xml:space="preserve">Quadro 11. </w:t>
            </w:r>
          </w:hyperlink>
          <w:hyperlink w:anchor="_heading=h.l45xs17kwchx">
            <w:r>
              <w:rPr>
                <w:color w:val="000000"/>
              </w:rPr>
              <w:t>Características dos estudos incluídos apresentada pelo PROPONENTE.</w:t>
            </w:r>
            <w:r>
              <w:rPr>
                <w:color w:val="000000"/>
              </w:rPr>
              <w:tab/>
              <w:t>46</w:t>
            </w:r>
          </w:hyperlink>
        </w:p>
        <w:p w14:paraId="4FB5E7DE"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l5rf39m0pfd9">
            <w:r>
              <w:rPr>
                <w:b/>
                <w:color w:val="000000"/>
              </w:rPr>
              <w:t xml:space="preserve">Quadro 12. </w:t>
            </w:r>
          </w:hyperlink>
          <w:hyperlink w:anchor="_heading=h.l5rf39m0pfd9">
            <w:r>
              <w:rPr>
                <w:color w:val="000000"/>
              </w:rPr>
              <w:t>Características dos estudos incluídos na análise do PARECERISTA.</w:t>
            </w:r>
            <w:r>
              <w:rPr>
                <w:color w:val="000000"/>
              </w:rPr>
              <w:tab/>
              <w:t>46</w:t>
            </w:r>
          </w:hyperlink>
        </w:p>
        <w:p w14:paraId="4FB5E7DF" w14:textId="77777777" w:rsidR="008238E6" w:rsidRDefault="008238E6">
          <w:pPr>
            <w:widowControl w:val="0"/>
            <w:tabs>
              <w:tab w:val="right" w:leader="dot" w:pos="12000"/>
            </w:tabs>
            <w:spacing w:before="60" w:after="0" w:line="240" w:lineRule="auto"/>
            <w:jc w:val="left"/>
            <w:rPr>
              <w:color w:val="000000"/>
            </w:rPr>
          </w:pPr>
          <w:hyperlink w:anchor="_heading=h.uao4gxbky0bf">
            <w:r>
              <w:rPr>
                <w:b/>
                <w:color w:val="000000"/>
              </w:rPr>
              <w:t xml:space="preserve">Quadro 13. </w:t>
            </w:r>
          </w:hyperlink>
          <w:hyperlink w:anchor="_heading=h.uao4gxbky0bf">
            <w:r>
              <w:rPr>
                <w:color w:val="000000"/>
              </w:rPr>
              <w:t>Resultados, por desfecho, dos estudos incluídos apresentados pelo PROPONENTE.</w:t>
            </w:r>
            <w:r>
              <w:rPr>
                <w:color w:val="000000"/>
              </w:rPr>
              <w:tab/>
              <w:t>48</w:t>
            </w:r>
          </w:hyperlink>
        </w:p>
        <w:p w14:paraId="4FB5E7E0" w14:textId="77777777" w:rsidR="008238E6" w:rsidRDefault="008238E6">
          <w:pPr>
            <w:widowControl w:val="0"/>
            <w:tabs>
              <w:tab w:val="right" w:leader="dot" w:pos="12000"/>
            </w:tabs>
            <w:spacing w:before="60" w:after="0" w:line="240" w:lineRule="auto"/>
            <w:jc w:val="left"/>
            <w:rPr>
              <w:color w:val="000000"/>
            </w:rPr>
          </w:pPr>
          <w:hyperlink w:anchor="_heading=h.ut8854cgxdz9">
            <w:r>
              <w:rPr>
                <w:b/>
                <w:color w:val="000000"/>
              </w:rPr>
              <w:t xml:space="preserve">Quadro 14. </w:t>
            </w:r>
          </w:hyperlink>
          <w:hyperlink w:anchor="_heading=h.ut8854cgxdz9">
            <w:r>
              <w:rPr>
                <w:color w:val="000000"/>
              </w:rPr>
              <w:t>Resultados, por desfecho, dos estudos incluídos na análise do PARECERISTA.</w:t>
            </w:r>
            <w:r>
              <w:rPr>
                <w:color w:val="000000"/>
              </w:rPr>
              <w:tab/>
              <w:t>49</w:t>
            </w:r>
          </w:hyperlink>
        </w:p>
        <w:p w14:paraId="4FB5E7E1" w14:textId="77777777" w:rsidR="008238E6" w:rsidRDefault="008238E6">
          <w:pPr>
            <w:widowControl w:val="0"/>
            <w:tabs>
              <w:tab w:val="right" w:leader="dot" w:pos="12000"/>
            </w:tabs>
            <w:spacing w:before="60" w:after="0" w:line="240" w:lineRule="auto"/>
            <w:jc w:val="left"/>
            <w:rPr>
              <w:color w:val="000000"/>
            </w:rPr>
          </w:pPr>
          <w:hyperlink w:anchor="_heading=h.maqj7udkbrs3">
            <w:r>
              <w:rPr>
                <w:b/>
                <w:color w:val="000000"/>
              </w:rPr>
              <w:t xml:space="preserve">Quadro 15. </w:t>
            </w:r>
          </w:hyperlink>
          <w:hyperlink w:anchor="_heading=h.maqj7udkbrs3">
            <w:r>
              <w:rPr>
                <w:color w:val="000000"/>
              </w:rPr>
              <w:t>Características do processo de avaliação do risco de viés ou qualidade metodológica dos estudos incluídos.</w:t>
            </w:r>
            <w:r>
              <w:rPr>
                <w:color w:val="000000"/>
              </w:rPr>
              <w:tab/>
              <w:t>52</w:t>
            </w:r>
          </w:hyperlink>
        </w:p>
        <w:p w14:paraId="4FB5E7E2"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2ymzovgyy5kl">
            <w:r>
              <w:rPr>
                <w:b/>
                <w:color w:val="000000"/>
              </w:rPr>
              <w:t xml:space="preserve">Quadro 16. </w:t>
            </w:r>
          </w:hyperlink>
          <w:hyperlink w:anchor="_heading=h.2ymzovgyy5kl">
            <w:r>
              <w:rPr>
                <w:color w:val="000000"/>
              </w:rPr>
              <w:t>Risco de viés ou qualidade metodológica dos estudos incluídos apresentado pelo PROPONENTE.</w:t>
            </w:r>
            <w:r>
              <w:rPr>
                <w:color w:val="000000"/>
              </w:rPr>
              <w:tab/>
              <w:t>53</w:t>
            </w:r>
          </w:hyperlink>
        </w:p>
        <w:p w14:paraId="4FB5E7E3"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jh85hxl3tubk">
            <w:r>
              <w:rPr>
                <w:b/>
                <w:color w:val="000000"/>
              </w:rPr>
              <w:t xml:space="preserve">Quadro 17. </w:t>
            </w:r>
          </w:hyperlink>
          <w:hyperlink w:anchor="_heading=h.jh85hxl3tubk">
            <w:r>
              <w:rPr>
                <w:color w:val="000000"/>
              </w:rPr>
              <w:t>Risco de viés ou qualidade metodológica dos estudos incluídos na análise do PARECERISTA - ROBINS-I.</w:t>
            </w:r>
            <w:r>
              <w:rPr>
                <w:color w:val="000000"/>
              </w:rPr>
              <w:tab/>
              <w:t>56</w:t>
            </w:r>
          </w:hyperlink>
        </w:p>
        <w:p w14:paraId="4FB5E7E4"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m2aowlyysqu3">
            <w:r>
              <w:rPr>
                <w:b/>
                <w:color w:val="000000"/>
              </w:rPr>
              <w:t xml:space="preserve">Quadro 18. </w:t>
            </w:r>
          </w:hyperlink>
          <w:hyperlink w:anchor="_heading=h.m2aowlyysqu3">
            <w:r>
              <w:rPr>
                <w:color w:val="000000"/>
              </w:rPr>
              <w:t>Avaliação da certeza no conjunto final das evidências (abordagem GRADE) apresentada pelo PROPONENTE.</w:t>
            </w:r>
            <w:r>
              <w:rPr>
                <w:color w:val="000000"/>
              </w:rPr>
              <w:tab/>
              <w:t>58</w:t>
            </w:r>
          </w:hyperlink>
        </w:p>
        <w:p w14:paraId="4FB5E7E5"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j4obtfhsnuhu">
            <w:r>
              <w:rPr>
                <w:b/>
                <w:color w:val="000000"/>
              </w:rPr>
              <w:t xml:space="preserve">Quadro 19. </w:t>
            </w:r>
          </w:hyperlink>
          <w:hyperlink w:anchor="_heading=h.j4obtfhsnuhu">
            <w:r>
              <w:rPr>
                <w:color w:val="000000"/>
              </w:rPr>
              <w:t>Avaliação da certeza no conjunto final das evidências (abordagem GRADE) apresentada na análise do PARECERISTA.</w:t>
            </w:r>
            <w:r>
              <w:rPr>
                <w:color w:val="000000"/>
              </w:rPr>
              <w:tab/>
              <w:t>59</w:t>
            </w:r>
          </w:hyperlink>
        </w:p>
        <w:p w14:paraId="4FB5E7E6"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la5vt2r3vax1">
            <w:r>
              <w:rPr>
                <w:b/>
                <w:color w:val="000000"/>
              </w:rPr>
              <w:t xml:space="preserve">Quadro 20. </w:t>
            </w:r>
          </w:hyperlink>
          <w:hyperlink w:anchor="_heading=h.la5vt2r3vax1">
            <w:r>
              <w:rPr>
                <w:color w:val="000000"/>
              </w:rPr>
              <w:t>Componentes da discussão e das conclusões.</w:t>
            </w:r>
            <w:r>
              <w:rPr>
                <w:color w:val="000000"/>
              </w:rPr>
              <w:tab/>
              <w:t>60</w:t>
            </w:r>
          </w:hyperlink>
        </w:p>
        <w:p w14:paraId="4FB5E7E7"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hi59osauu74z">
            <w:r>
              <w:rPr>
                <w:b/>
                <w:color w:val="000000"/>
              </w:rPr>
              <w:t xml:space="preserve">Quadro 21. </w:t>
            </w:r>
          </w:hyperlink>
          <w:hyperlink w:anchor="_heading=h.hi59osauu74z">
            <w:r>
              <w:rPr>
                <w:color w:val="000000"/>
              </w:rPr>
              <w:t>Componentes dos elementos pós-texto.</w:t>
            </w:r>
            <w:r>
              <w:rPr>
                <w:color w:val="000000"/>
              </w:rPr>
              <w:tab/>
              <w:t>62</w:t>
            </w:r>
          </w:hyperlink>
        </w:p>
        <w:p w14:paraId="4FB5E7E8"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yclsnc4cf206">
            <w:r>
              <w:rPr>
                <w:b/>
                <w:color w:val="000000"/>
              </w:rPr>
              <w:t xml:space="preserve">Quadro 22. </w:t>
            </w:r>
          </w:hyperlink>
          <w:hyperlink w:anchor="_heading=h.yclsnc4cf206">
            <w:r>
              <w:rPr>
                <w:color w:val="000000"/>
              </w:rPr>
              <w:t>Parâmetros da avaliação econômica.</w:t>
            </w:r>
            <w:r>
              <w:rPr>
                <w:color w:val="000000"/>
              </w:rPr>
              <w:tab/>
              <w:t>65</w:t>
            </w:r>
          </w:hyperlink>
        </w:p>
        <w:p w14:paraId="4FB5E7E9"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c10wyplhxy3">
            <w:r>
              <w:rPr>
                <w:b/>
                <w:color w:val="000000"/>
              </w:rPr>
              <w:t xml:space="preserve">Quadro 23. </w:t>
            </w:r>
          </w:hyperlink>
          <w:hyperlink w:anchor="_heading=h.c10wyplhxy3">
            <w:r>
              <w:rPr>
                <w:color w:val="000000"/>
              </w:rPr>
              <w:t>Principais resultados apresentados pelo PROPONENTE.</w:t>
            </w:r>
            <w:r>
              <w:rPr>
                <w:color w:val="000000"/>
              </w:rPr>
              <w:tab/>
              <w:t>70</w:t>
            </w:r>
          </w:hyperlink>
        </w:p>
        <w:p w14:paraId="4FB5E7EA"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p2ss6x5f64kz">
            <w:r>
              <w:rPr>
                <w:b/>
                <w:color w:val="000000"/>
              </w:rPr>
              <w:t xml:space="preserve">Quadro 24. </w:t>
            </w:r>
          </w:hyperlink>
          <w:hyperlink w:anchor="_heading=h.p2ss6x5f64kz">
            <w:r>
              <w:rPr>
                <w:color w:val="000000"/>
              </w:rPr>
              <w:t>Razão de custo-efetividade incremental (RCEI) da avaliação econômica elaborada pelo PROPONENTE.</w:t>
            </w:r>
            <w:r>
              <w:rPr>
                <w:color w:val="000000"/>
              </w:rPr>
              <w:tab/>
              <w:t>72</w:t>
            </w:r>
          </w:hyperlink>
        </w:p>
        <w:p w14:paraId="4FB5E7EB"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ww5ajtg1i1f2">
            <w:r>
              <w:rPr>
                <w:b/>
                <w:color w:val="000000"/>
              </w:rPr>
              <w:t xml:space="preserve">Quadro 25. </w:t>
            </w:r>
          </w:hyperlink>
          <w:hyperlink w:anchor="_heading=h.ww5ajtg1i1f2">
            <w:r>
              <w:rPr>
                <w:color w:val="000000"/>
              </w:rPr>
              <w:t>Componentes da discussão e conclusões.</w:t>
            </w:r>
            <w:r>
              <w:rPr>
                <w:color w:val="000000"/>
              </w:rPr>
              <w:tab/>
              <w:t>73</w:t>
            </w:r>
          </w:hyperlink>
        </w:p>
        <w:p w14:paraId="4FB5E7EC"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z46d9zwggvqt">
            <w:r>
              <w:rPr>
                <w:b/>
                <w:color w:val="000000"/>
              </w:rPr>
              <w:t xml:space="preserve">Quadro 26. </w:t>
            </w:r>
          </w:hyperlink>
          <w:hyperlink w:anchor="_heading=h.z46d9zwggvqt">
            <w:r>
              <w:rPr>
                <w:color w:val="000000"/>
              </w:rPr>
              <w:t>Elementos pós-texto.</w:t>
            </w:r>
            <w:r>
              <w:rPr>
                <w:color w:val="000000"/>
              </w:rPr>
              <w:tab/>
              <w:t>74</w:t>
            </w:r>
          </w:hyperlink>
        </w:p>
        <w:p w14:paraId="4FB5E7ED"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im2iwvmr1gr7">
            <w:r>
              <w:rPr>
                <w:b/>
                <w:color w:val="000000"/>
              </w:rPr>
              <w:t xml:space="preserve">Quadro 27. </w:t>
            </w:r>
          </w:hyperlink>
          <w:hyperlink w:anchor="_heading=h.im2iwvmr1gr7">
            <w:r>
              <w:rPr>
                <w:color w:val="000000"/>
              </w:rPr>
              <w:t>Principais parâmetros da AIO (versão do PROPONENTE e do PARECERISTA).</w:t>
            </w:r>
            <w:r>
              <w:rPr>
                <w:color w:val="000000"/>
              </w:rPr>
              <w:tab/>
              <w:t>75</w:t>
            </w:r>
          </w:hyperlink>
        </w:p>
        <w:p w14:paraId="4FB5E7EE"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vaa5ftkt7fbf">
            <w:r>
              <w:rPr>
                <w:b/>
                <w:color w:val="000000"/>
              </w:rPr>
              <w:t xml:space="preserve">Quadro 28. </w:t>
            </w:r>
          </w:hyperlink>
          <w:hyperlink w:anchor="_heading=h.vaa5ftkt7fbf">
            <w:r>
              <w:rPr>
                <w:color w:val="000000"/>
              </w:rPr>
              <w:t>Estimativa da população elegível (versão do PROPONENTE e do PARECERISTA, com lógica de demanda reprimida).</w:t>
            </w:r>
            <w:r>
              <w:rPr>
                <w:color w:val="000000"/>
              </w:rPr>
              <w:tab/>
              <w:t>81</w:t>
            </w:r>
          </w:hyperlink>
        </w:p>
        <w:p w14:paraId="4FB5E7EF"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h3tba8u5bja7">
            <w:r>
              <w:rPr>
                <w:b/>
                <w:color w:val="000000"/>
              </w:rPr>
              <w:t xml:space="preserve">Quadro 29. </w:t>
            </w:r>
          </w:hyperlink>
          <w:hyperlink w:anchor="_heading=h.h3tba8u5bja7">
            <w:r>
              <w:rPr>
                <w:color w:val="000000"/>
              </w:rPr>
              <w:t xml:space="preserve"> Progressão estimada de participação no mercado apresentada pelo PROPONENTE.</w:t>
            </w:r>
            <w:r>
              <w:rPr>
                <w:color w:val="000000"/>
              </w:rPr>
              <w:tab/>
              <w:t>82</w:t>
            </w:r>
          </w:hyperlink>
        </w:p>
        <w:p w14:paraId="4FB5E7F0"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bz4p2aiuick7">
            <w:r>
              <w:rPr>
                <w:b/>
                <w:color w:val="000000"/>
              </w:rPr>
              <w:t xml:space="preserve">Quadro 30.  </w:t>
            </w:r>
          </w:hyperlink>
          <w:hyperlink w:anchor="_heading=h.bz4p2aiuick7">
            <w:r>
              <w:rPr>
                <w:color w:val="000000"/>
              </w:rPr>
              <w:t>Progressão estimada de participação no mercado apresentada pelo PARECERISTA.</w:t>
            </w:r>
            <w:r>
              <w:rPr>
                <w:color w:val="000000"/>
              </w:rPr>
              <w:tab/>
              <w:t>82</w:t>
            </w:r>
          </w:hyperlink>
        </w:p>
        <w:p w14:paraId="4FB5E7F1"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d9bxi44c8mbb">
            <w:r>
              <w:rPr>
                <w:b/>
                <w:color w:val="000000"/>
              </w:rPr>
              <w:t xml:space="preserve">Quadro 31. </w:t>
            </w:r>
          </w:hyperlink>
          <w:hyperlink w:anchor="_heading=h.d9bxi44c8mbb">
            <w:r>
              <w:rPr>
                <w:color w:val="000000"/>
              </w:rPr>
              <w:t>Resumo dos resultados da AIO.</w:t>
            </w:r>
            <w:r>
              <w:rPr>
                <w:color w:val="000000"/>
              </w:rPr>
              <w:tab/>
              <w:t>84</w:t>
            </w:r>
          </w:hyperlink>
        </w:p>
        <w:p w14:paraId="4FB5E7F2"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
            <w:r>
              <w:rPr>
                <w:b/>
                <w:color w:val="000000"/>
              </w:rPr>
              <w:t xml:space="preserve">Quadro 32.  </w:t>
            </w:r>
          </w:hyperlink>
          <w:hyperlink w:anchor="_heading=">
            <w:r>
              <w:rPr>
                <w:color w:val="000000"/>
              </w:rPr>
              <w:t>Parâmetros de custo e fontes de dados (versão do PROPONENTE e do PARECERISTA).</w:t>
            </w:r>
            <w:r>
              <w:rPr>
                <w:color w:val="000000"/>
              </w:rPr>
              <w:tab/>
              <w:t>86</w:t>
            </w:r>
          </w:hyperlink>
        </w:p>
        <w:p w14:paraId="4FB5E7F3"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
            <w:r>
              <w:rPr>
                <w:b/>
                <w:color w:val="000000"/>
              </w:rPr>
              <w:t xml:space="preserve">Quadro 33. </w:t>
            </w:r>
          </w:hyperlink>
          <w:hyperlink w:anchor="_heading=">
            <w:r>
              <w:rPr>
                <w:color w:val="000000"/>
              </w:rPr>
              <w:t>Impacto orçamentário total (versão do PROPONENTE e do PARECERISTA).</w:t>
            </w:r>
            <w:r>
              <w:rPr>
                <w:color w:val="000000"/>
              </w:rPr>
              <w:tab/>
              <w:t>88</w:t>
            </w:r>
          </w:hyperlink>
        </w:p>
        <w:p w14:paraId="4FB5E7F4"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xf0io6srj3yt">
            <w:r>
              <w:rPr>
                <w:b/>
                <w:color w:val="000000"/>
              </w:rPr>
              <w:t xml:space="preserve">Quadro 34. </w:t>
            </w:r>
          </w:hyperlink>
          <w:hyperlink w:anchor="_heading=h.xf0io6srj3yt">
            <w:r>
              <w:rPr>
                <w:color w:val="000000"/>
              </w:rPr>
              <w:t>Impacto orçamentário incremental (versão do PROPONENTE e do PARECERISTA).</w:t>
            </w:r>
            <w:r>
              <w:rPr>
                <w:color w:val="000000"/>
              </w:rPr>
              <w:tab/>
              <w:t>90</w:t>
            </w:r>
          </w:hyperlink>
        </w:p>
        <w:p w14:paraId="4FB5E7F5"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smiiy7fmud37">
            <w:r>
              <w:rPr>
                <w:b/>
                <w:color w:val="000000"/>
              </w:rPr>
              <w:t xml:space="preserve">Quadro 35. </w:t>
            </w:r>
          </w:hyperlink>
          <w:hyperlink w:anchor="_heading=h.smiiy7fmud37">
            <w:r>
              <w:rPr>
                <w:color w:val="000000"/>
              </w:rPr>
              <w:t>Componentes da discussão e das conclusões.</w:t>
            </w:r>
            <w:r>
              <w:rPr>
                <w:color w:val="000000"/>
              </w:rPr>
              <w:tab/>
              <w:t>92</w:t>
            </w:r>
          </w:hyperlink>
        </w:p>
        <w:p w14:paraId="4FB5E7F6"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7fbkr0b6pkzd">
            <w:r>
              <w:rPr>
                <w:b/>
                <w:color w:val="000000"/>
              </w:rPr>
              <w:t xml:space="preserve">Quadro 36. </w:t>
            </w:r>
          </w:hyperlink>
          <w:hyperlink w:anchor="_heading=h.7fbkr0b6pkzd">
            <w:r>
              <w:rPr>
                <w:color w:val="000000"/>
              </w:rPr>
              <w:t>Elementos pós-texto.</w:t>
            </w:r>
            <w:r>
              <w:rPr>
                <w:color w:val="000000"/>
              </w:rPr>
              <w:tab/>
              <w:t>94</w:t>
            </w:r>
          </w:hyperlink>
        </w:p>
        <w:p w14:paraId="4FB5E7F7" w14:textId="77777777" w:rsidR="008238E6" w:rsidRDefault="008238E6">
          <w:pPr>
            <w:widowControl w:val="0"/>
            <w:tabs>
              <w:tab w:val="right" w:leader="dot" w:pos="12000"/>
            </w:tabs>
            <w:spacing w:before="60" w:after="0" w:line="240" w:lineRule="auto"/>
            <w:jc w:val="left"/>
            <w:rPr>
              <w:rFonts w:ascii="Arial" w:eastAsia="Arial" w:hAnsi="Arial" w:cs="Arial"/>
              <w:color w:val="000000"/>
            </w:rPr>
          </w:pPr>
          <w:hyperlink w:anchor="_heading=h.z3sn893q3v09">
            <w:r>
              <w:rPr>
                <w:b/>
                <w:color w:val="000000"/>
              </w:rPr>
              <w:t xml:space="preserve">Quadro 37. </w:t>
            </w:r>
          </w:hyperlink>
          <w:hyperlink w:anchor="_heading=h.z3sn893q3v09">
            <w:r>
              <w:rPr>
                <w:color w:val="000000"/>
              </w:rPr>
              <w:t>Avaliação de outras agências de ATS.</w:t>
            </w:r>
            <w:r>
              <w:rPr>
                <w:color w:val="000000"/>
              </w:rPr>
              <w:tab/>
              <w:t>95</w:t>
            </w:r>
          </w:hyperlink>
          <w:r w:rsidR="00D61AB3">
            <w:fldChar w:fldCharType="end"/>
          </w:r>
        </w:p>
      </w:sdtContent>
    </w:sdt>
    <w:p w14:paraId="4FB5E7F8" w14:textId="77777777" w:rsidR="008238E6" w:rsidRDefault="008238E6">
      <w:pPr>
        <w:jc w:val="center"/>
        <w:rPr>
          <w:b/>
        </w:rPr>
      </w:pPr>
    </w:p>
    <w:p w14:paraId="4FB5E7F9" w14:textId="77777777" w:rsidR="008238E6" w:rsidRDefault="008238E6">
      <w:pPr>
        <w:jc w:val="center"/>
      </w:pPr>
    </w:p>
    <w:p w14:paraId="4FB5E7FA" w14:textId="77777777" w:rsidR="008238E6" w:rsidRDefault="008238E6">
      <w:pPr>
        <w:jc w:val="center"/>
      </w:pPr>
    </w:p>
    <w:p w14:paraId="4FB5E7FB" w14:textId="77777777" w:rsidR="008238E6" w:rsidRDefault="008238E6">
      <w:pPr>
        <w:jc w:val="center"/>
      </w:pPr>
    </w:p>
    <w:p w14:paraId="4FB5E7FC" w14:textId="77777777" w:rsidR="008238E6" w:rsidRDefault="008238E6">
      <w:pPr>
        <w:jc w:val="center"/>
      </w:pPr>
    </w:p>
    <w:p w14:paraId="4FB5E7FD" w14:textId="77777777" w:rsidR="008238E6" w:rsidRDefault="008238E6">
      <w:pPr>
        <w:jc w:val="center"/>
      </w:pPr>
    </w:p>
    <w:p w14:paraId="4FB5E7FE" w14:textId="77777777" w:rsidR="008238E6" w:rsidRDefault="008238E6">
      <w:pPr>
        <w:jc w:val="center"/>
      </w:pPr>
    </w:p>
    <w:p w14:paraId="4FB5E7FF" w14:textId="77777777" w:rsidR="008238E6" w:rsidRDefault="008238E6">
      <w:pPr>
        <w:jc w:val="center"/>
      </w:pPr>
    </w:p>
    <w:p w14:paraId="4FB5E800" w14:textId="77777777" w:rsidR="008238E6" w:rsidRDefault="008238E6">
      <w:pPr>
        <w:jc w:val="center"/>
      </w:pPr>
    </w:p>
    <w:p w14:paraId="4FB5E801" w14:textId="77777777" w:rsidR="008238E6" w:rsidRDefault="008238E6">
      <w:pPr>
        <w:jc w:val="center"/>
      </w:pPr>
    </w:p>
    <w:p w14:paraId="4FB5E802" w14:textId="77777777" w:rsidR="008238E6" w:rsidRDefault="008238E6">
      <w:pPr>
        <w:jc w:val="left"/>
      </w:pPr>
    </w:p>
    <w:p w14:paraId="4FB5E803" w14:textId="77777777" w:rsidR="008238E6" w:rsidRDefault="008238E6">
      <w:pPr>
        <w:jc w:val="left"/>
      </w:pPr>
    </w:p>
    <w:p w14:paraId="4FB5E804" w14:textId="77777777" w:rsidR="008238E6" w:rsidRDefault="008238E6">
      <w:pPr>
        <w:jc w:val="left"/>
      </w:pPr>
    </w:p>
    <w:p w14:paraId="4FB5E805" w14:textId="77777777" w:rsidR="008238E6" w:rsidRDefault="008238E6">
      <w:pPr>
        <w:jc w:val="left"/>
      </w:pPr>
    </w:p>
    <w:p w14:paraId="4FB5E806" w14:textId="77777777" w:rsidR="008238E6" w:rsidRDefault="008238E6">
      <w:pPr>
        <w:jc w:val="left"/>
      </w:pPr>
    </w:p>
    <w:p w14:paraId="4FB5E807" w14:textId="77777777" w:rsidR="008238E6" w:rsidRDefault="008238E6">
      <w:pPr>
        <w:jc w:val="left"/>
      </w:pPr>
    </w:p>
    <w:p w14:paraId="4FB5E808" w14:textId="77777777" w:rsidR="008238E6" w:rsidRDefault="008238E6">
      <w:pPr>
        <w:jc w:val="left"/>
      </w:pPr>
    </w:p>
    <w:p w14:paraId="4FB5E809" w14:textId="77777777" w:rsidR="008238E6" w:rsidRDefault="008238E6">
      <w:pPr>
        <w:spacing w:before="120"/>
        <w:rPr>
          <w:b/>
        </w:rPr>
      </w:pPr>
    </w:p>
    <w:p w14:paraId="4FB5E80A" w14:textId="77777777" w:rsidR="008238E6" w:rsidRDefault="00D61AB3">
      <w:pPr>
        <w:spacing w:before="120"/>
        <w:rPr>
          <w:b/>
          <w:sz w:val="28"/>
          <w:szCs w:val="28"/>
        </w:rPr>
      </w:pPr>
      <w:r>
        <w:rPr>
          <w:b/>
          <w:sz w:val="28"/>
          <w:szCs w:val="28"/>
        </w:rPr>
        <w:t>LISTA DE TABELAS</w:t>
      </w:r>
    </w:p>
    <w:p w14:paraId="4FB5E80B" w14:textId="77777777" w:rsidR="008238E6" w:rsidRDefault="00D61AB3">
      <w:r>
        <w:rPr>
          <w:b/>
        </w:rPr>
        <w:t>Tabela 1</w:t>
      </w:r>
      <w:r>
        <w:t>. Genes associados a MODY, frequência e características fenotípicas associadas.</w:t>
      </w:r>
    </w:p>
    <w:p w14:paraId="4FB5E80C" w14:textId="77777777" w:rsidR="008238E6" w:rsidRDefault="008238E6"/>
    <w:p w14:paraId="4FB5E80D" w14:textId="77777777" w:rsidR="008238E6" w:rsidRDefault="008238E6"/>
    <w:p w14:paraId="4FB5E80E" w14:textId="77777777" w:rsidR="008238E6" w:rsidRDefault="00D61AB3">
      <w:pPr>
        <w:spacing w:before="120"/>
        <w:rPr>
          <w:b/>
          <w:sz w:val="28"/>
          <w:szCs w:val="28"/>
        </w:rPr>
      </w:pPr>
      <w:r>
        <w:br w:type="page"/>
      </w:r>
    </w:p>
    <w:p w14:paraId="4FB5E80F" w14:textId="77777777" w:rsidR="008238E6" w:rsidRDefault="00D61AB3">
      <w:pPr>
        <w:spacing w:before="120"/>
        <w:rPr>
          <w:b/>
          <w:sz w:val="28"/>
          <w:szCs w:val="28"/>
        </w:rPr>
      </w:pPr>
      <w:r>
        <w:rPr>
          <w:b/>
          <w:sz w:val="28"/>
          <w:szCs w:val="28"/>
        </w:rPr>
        <w:t>LISTA DE ANEXOS</w:t>
      </w:r>
    </w:p>
    <w:p w14:paraId="4FB5E810" w14:textId="77777777" w:rsidR="008238E6" w:rsidRDefault="00D61AB3">
      <w:pPr>
        <w:spacing w:before="120"/>
      </w:pPr>
      <w:r>
        <w:rPr>
          <w:b/>
        </w:rPr>
        <w:t xml:space="preserve">Anexo 1. </w:t>
      </w:r>
      <w:r>
        <w:t>Checklist de análise crítica: Avaliação econômica de tecnologias em saúde no processo de atualização do Rol da ANS.</w:t>
      </w:r>
    </w:p>
    <w:p w14:paraId="4FB5E811" w14:textId="77777777" w:rsidR="008238E6" w:rsidRDefault="00D61AB3">
      <w:pPr>
        <w:spacing w:before="120"/>
      </w:pPr>
      <w:r>
        <w:rPr>
          <w:b/>
        </w:rPr>
        <w:t xml:space="preserve">Anexo 2. </w:t>
      </w:r>
      <w:r>
        <w:t>Checklist de análise crítica: Análise de impacto orçamentário de tecnologias em saúde no processo de atualização do Rol da ANS.</w:t>
      </w:r>
    </w:p>
    <w:p w14:paraId="4FB5E812" w14:textId="77777777" w:rsidR="008238E6" w:rsidRDefault="00D61AB3">
      <w:pPr>
        <w:spacing w:line="240" w:lineRule="auto"/>
      </w:pPr>
      <w:r>
        <w:rPr>
          <w:b/>
        </w:rPr>
        <w:t xml:space="preserve">Anexo 3. </w:t>
      </w:r>
      <w:r>
        <w:t>Planilha de impacto orçamentário elaborada pelo PARECERISTA (anexo externo).</w:t>
      </w:r>
    </w:p>
    <w:p w14:paraId="4FB5E813" w14:textId="77777777" w:rsidR="008238E6" w:rsidRDefault="00D61AB3">
      <w:pPr>
        <w:spacing w:line="240" w:lineRule="auto"/>
      </w:pPr>
      <w:r>
        <w:rPr>
          <w:b/>
        </w:rPr>
        <w:t xml:space="preserve">Anexo 4. </w:t>
      </w:r>
      <w:r>
        <w:t>Declaração de potenciais conflitos de interesses (anexo externo).</w:t>
      </w:r>
    </w:p>
    <w:p w14:paraId="4FB5E814" w14:textId="77777777" w:rsidR="008238E6" w:rsidRDefault="008238E6">
      <w:pPr>
        <w:spacing w:before="0" w:after="120"/>
      </w:pPr>
    </w:p>
    <w:p w14:paraId="4FB5E815" w14:textId="77777777" w:rsidR="008238E6" w:rsidRDefault="008238E6">
      <w:pPr>
        <w:spacing w:before="0" w:after="120"/>
      </w:pPr>
    </w:p>
    <w:p w14:paraId="4FB5E816" w14:textId="77777777" w:rsidR="008238E6" w:rsidRDefault="008238E6">
      <w:pPr>
        <w:spacing w:before="0" w:after="120"/>
        <w:jc w:val="center"/>
      </w:pPr>
    </w:p>
    <w:p w14:paraId="4FB5E817" w14:textId="77777777" w:rsidR="008238E6" w:rsidRDefault="008238E6"/>
    <w:p w14:paraId="4FB5E818" w14:textId="77777777" w:rsidR="008238E6" w:rsidRDefault="00D61AB3">
      <w:pPr>
        <w:spacing w:before="120"/>
        <w:rPr>
          <w:b/>
          <w:sz w:val="28"/>
          <w:szCs w:val="28"/>
        </w:rPr>
      </w:pPr>
      <w:r>
        <w:br w:type="page"/>
      </w:r>
    </w:p>
    <w:p w14:paraId="4FB5E819" w14:textId="77777777" w:rsidR="008238E6" w:rsidRDefault="00D61AB3">
      <w:pPr>
        <w:pStyle w:val="Heading1"/>
      </w:pPr>
      <w:bookmarkStart w:id="0" w:name="_heading=h.1ksv4uv" w:colFirst="0" w:colLast="0"/>
      <w:bookmarkEnd w:id="0"/>
      <w:r>
        <w:t>1. IDENTIFICAÇÃO</w:t>
      </w:r>
    </w:p>
    <w:p w14:paraId="4FB5E81A" w14:textId="77777777" w:rsidR="008238E6" w:rsidRDefault="00D61AB3">
      <w:pPr>
        <w:rPr>
          <w:b/>
        </w:rPr>
      </w:pPr>
      <w:r>
        <w:t xml:space="preserve">Esse relatório se refere à análise crítica de proposta de atualização do Rol de Procedimentos e Eventos em Saúde apresentada à Agência Nacional de Saúde Suplementar por meio do FormRol. Trata de aspectos relativos à eficácia, à efetividade, à segurança, à custo-efetividade e ao impacto orçamentário do “teste genético para diagnóstico de diabetes tipo MODY”, para pacientes diagnosticados com diabetes, com idade menor que 30 anos atualmente, e com probabilidade de 40% em MODY </w:t>
      </w:r>
      <w:r w:rsidRPr="00933BCD">
        <w:rPr>
          <w:i/>
          <w:iCs/>
        </w:rPr>
        <w:t>calculator</w:t>
      </w:r>
      <w:r>
        <w:t xml:space="preserve">, visando avaliar sua incorporação no Rol. </w:t>
      </w:r>
    </w:p>
    <w:p w14:paraId="4FB5E81B" w14:textId="77777777" w:rsidR="008238E6" w:rsidRDefault="00D61AB3">
      <w:pPr>
        <w:pStyle w:val="Heading4"/>
      </w:pPr>
      <w:r>
        <w:rPr>
          <w:b/>
        </w:rPr>
        <w:t xml:space="preserve">Quadro 1. </w:t>
      </w:r>
      <w:r>
        <w:t>Identificação da(s) proposta(s) de atualização do rol analisada(s) no presente documento.</w:t>
      </w:r>
    </w:p>
    <w:tbl>
      <w:tblPr>
        <w:tblStyle w:val="affffa"/>
        <w:tblW w:w="895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8"/>
        <w:gridCol w:w="1843"/>
        <w:gridCol w:w="5521"/>
      </w:tblGrid>
      <w:tr w:rsidR="008238E6" w14:paraId="4FB5E81F" w14:textId="77777777">
        <w:tc>
          <w:tcPr>
            <w:tcW w:w="1588" w:type="dxa"/>
            <w:shd w:val="clear" w:color="auto" w:fill="D9E2F3"/>
          </w:tcPr>
          <w:p w14:paraId="4FB5E81C" w14:textId="77777777" w:rsidR="008238E6" w:rsidRDefault="00D61AB3">
            <w:pPr>
              <w:spacing w:before="120" w:after="120"/>
              <w:jc w:val="center"/>
              <w:rPr>
                <w:b/>
              </w:rPr>
            </w:pPr>
            <w:r>
              <w:rPr>
                <w:b/>
              </w:rPr>
              <w:t>Nº de Protocolo</w:t>
            </w:r>
          </w:p>
        </w:tc>
        <w:tc>
          <w:tcPr>
            <w:tcW w:w="1843" w:type="dxa"/>
            <w:shd w:val="clear" w:color="auto" w:fill="D9E2F3"/>
          </w:tcPr>
          <w:p w14:paraId="4FB5E81D" w14:textId="77777777" w:rsidR="008238E6" w:rsidRDefault="00D61AB3">
            <w:pPr>
              <w:spacing w:before="120" w:after="120"/>
              <w:jc w:val="center"/>
              <w:rPr>
                <w:b/>
              </w:rPr>
            </w:pPr>
            <w:r>
              <w:rPr>
                <w:b/>
              </w:rPr>
              <w:t>Nº da Unidade</w:t>
            </w:r>
          </w:p>
        </w:tc>
        <w:tc>
          <w:tcPr>
            <w:tcW w:w="5521" w:type="dxa"/>
            <w:shd w:val="clear" w:color="auto" w:fill="D9E2F3"/>
          </w:tcPr>
          <w:p w14:paraId="4FB5E81E" w14:textId="77777777" w:rsidR="008238E6" w:rsidRDefault="00D61AB3">
            <w:pPr>
              <w:spacing w:before="120" w:after="120"/>
              <w:jc w:val="center"/>
              <w:rPr>
                <w:b/>
                <w:highlight w:val="cyan"/>
              </w:rPr>
            </w:pPr>
            <w:r>
              <w:rPr>
                <w:b/>
              </w:rPr>
              <w:t>Proponente</w:t>
            </w:r>
          </w:p>
        </w:tc>
      </w:tr>
      <w:tr w:rsidR="008238E6" w14:paraId="4FB5E823" w14:textId="77777777">
        <w:tc>
          <w:tcPr>
            <w:tcW w:w="1588" w:type="dxa"/>
          </w:tcPr>
          <w:p w14:paraId="4FB5E820" w14:textId="77777777" w:rsidR="008238E6" w:rsidRDefault="00D61AB3">
            <w:pPr>
              <w:spacing w:before="120" w:after="120"/>
              <w:jc w:val="center"/>
              <w:rPr>
                <w:sz w:val="20"/>
                <w:szCs w:val="20"/>
              </w:rPr>
            </w:pPr>
            <w:r>
              <w:rPr>
                <w:sz w:val="20"/>
                <w:szCs w:val="20"/>
              </w:rPr>
              <w:t>2024.1.000198</w:t>
            </w:r>
          </w:p>
        </w:tc>
        <w:tc>
          <w:tcPr>
            <w:tcW w:w="1843" w:type="dxa"/>
          </w:tcPr>
          <w:p w14:paraId="4FB5E821" w14:textId="77777777" w:rsidR="008238E6" w:rsidRDefault="00D61AB3">
            <w:pPr>
              <w:spacing w:before="120" w:after="120"/>
              <w:jc w:val="center"/>
              <w:rPr>
                <w:sz w:val="20"/>
                <w:szCs w:val="20"/>
              </w:rPr>
            </w:pPr>
            <w:r>
              <w:rPr>
                <w:sz w:val="20"/>
                <w:szCs w:val="20"/>
              </w:rPr>
              <w:t>UAT-136</w:t>
            </w:r>
          </w:p>
        </w:tc>
        <w:tc>
          <w:tcPr>
            <w:tcW w:w="5521" w:type="dxa"/>
          </w:tcPr>
          <w:p w14:paraId="4FB5E822" w14:textId="77777777" w:rsidR="008238E6" w:rsidRDefault="00D61AB3">
            <w:pPr>
              <w:spacing w:before="120" w:after="120"/>
              <w:jc w:val="center"/>
              <w:rPr>
                <w:sz w:val="20"/>
                <w:szCs w:val="20"/>
              </w:rPr>
            </w:pPr>
            <w:r>
              <w:rPr>
                <w:sz w:val="20"/>
                <w:szCs w:val="20"/>
              </w:rPr>
              <w:t>Grupo Fleury</w:t>
            </w:r>
          </w:p>
        </w:tc>
      </w:tr>
    </w:tbl>
    <w:p w14:paraId="4FB5E824" w14:textId="77777777" w:rsidR="008238E6" w:rsidRDefault="00D61AB3">
      <w:pPr>
        <w:pBdr>
          <w:top w:val="nil"/>
          <w:left w:val="nil"/>
          <w:bottom w:val="nil"/>
          <w:right w:val="nil"/>
          <w:between w:val="nil"/>
        </w:pBdr>
        <w:ind w:left="720"/>
        <w:rPr>
          <w:b/>
          <w:smallCaps/>
          <w:color w:val="000000"/>
          <w:sz w:val="28"/>
          <w:szCs w:val="28"/>
        </w:rPr>
      </w:pPr>
      <w:r>
        <w:br w:type="page"/>
      </w:r>
    </w:p>
    <w:p w14:paraId="4FB5E825" w14:textId="77777777" w:rsidR="008238E6" w:rsidRDefault="00D61AB3">
      <w:pPr>
        <w:pStyle w:val="Heading1"/>
      </w:pPr>
      <w:bookmarkStart w:id="1" w:name="_heading=h.44sinio" w:colFirst="0" w:colLast="0"/>
      <w:bookmarkEnd w:id="1"/>
      <w:r>
        <w:t>2. RESUMO EXECUTIVO</w:t>
      </w:r>
    </w:p>
    <w:p w14:paraId="4FB5E826" w14:textId="77777777" w:rsidR="008238E6" w:rsidRDefault="00D61AB3">
      <w:pPr>
        <w:pStyle w:val="Heading4"/>
        <w:spacing w:before="0" w:after="0"/>
      </w:pPr>
      <w:bookmarkStart w:id="2" w:name="_heading=h.kdj8tj9w1761" w:colFirst="0" w:colLast="0"/>
      <w:bookmarkEnd w:id="2"/>
      <w:r>
        <w:rPr>
          <w:b/>
          <w:smallCaps/>
        </w:rPr>
        <w:t>Q</w:t>
      </w:r>
      <w:r>
        <w:rPr>
          <w:b/>
        </w:rPr>
        <w:t xml:space="preserve">uadro 2. </w:t>
      </w:r>
      <w:r>
        <w:t>Resumo executivo.</w:t>
      </w:r>
    </w:p>
    <w:tbl>
      <w:tblPr>
        <w:tblW w:w="910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00" w:firstRow="0" w:lastRow="0" w:firstColumn="0" w:lastColumn="0" w:noHBand="0" w:noVBand="1"/>
      </w:tblPr>
      <w:tblGrid>
        <w:gridCol w:w="4551"/>
        <w:gridCol w:w="4551"/>
      </w:tblGrid>
      <w:tr w:rsidR="008238E6" w14:paraId="4FB5E828" w14:textId="77777777" w:rsidTr="3EF7B8AA">
        <w:trPr>
          <w:trHeight w:val="417"/>
        </w:trPr>
        <w:tc>
          <w:tcPr>
            <w:tcW w:w="9102" w:type="dxa"/>
            <w:gridSpan w:val="2"/>
            <w:shd w:val="clear" w:color="auto" w:fill="D9E2F3"/>
            <w:vAlign w:val="center"/>
          </w:tcPr>
          <w:p w14:paraId="4FB5E827" w14:textId="77777777" w:rsidR="008238E6" w:rsidRDefault="00D61AB3">
            <w:pPr>
              <w:spacing w:before="120" w:after="120"/>
              <w:jc w:val="center"/>
              <w:rPr>
                <w:b/>
                <w:smallCaps/>
              </w:rPr>
            </w:pPr>
            <w:r>
              <w:rPr>
                <w:b/>
                <w:smallCaps/>
              </w:rPr>
              <w:t>TECNOLOGIA</w:t>
            </w:r>
          </w:p>
        </w:tc>
      </w:tr>
      <w:tr w:rsidR="008238E6" w14:paraId="4FB5E82A" w14:textId="77777777" w:rsidTr="3EF7B8AA">
        <w:tc>
          <w:tcPr>
            <w:tcW w:w="9102" w:type="dxa"/>
            <w:gridSpan w:val="2"/>
            <w:vAlign w:val="center"/>
          </w:tcPr>
          <w:p w14:paraId="4FB5E829" w14:textId="77777777" w:rsidR="008238E6" w:rsidRDefault="00D61AB3">
            <w:pPr>
              <w:spacing w:before="120" w:after="120"/>
              <w:rPr>
                <w:smallCaps/>
              </w:rPr>
            </w:pPr>
            <w:r>
              <w:t>Teste genético para diagnóstico de diabetes tipo MODY [Captura/Amplificação e subsequente sequenciamento de regiões genômicas DE MAIS DE 30 MEGABASES DE DNA TUMORAL PARA ANÁLISE DE MUTAÇÕES SOMÁTICAS por qualquer técnica de sequenciamento (Sanger ou qualquer forma de sequenciamento de nova geração – NGS)].</w:t>
            </w:r>
          </w:p>
        </w:tc>
      </w:tr>
      <w:tr w:rsidR="008238E6" w14:paraId="4FB5E82C" w14:textId="77777777" w:rsidTr="3EF7B8AA">
        <w:trPr>
          <w:trHeight w:val="429"/>
        </w:trPr>
        <w:tc>
          <w:tcPr>
            <w:tcW w:w="9102" w:type="dxa"/>
            <w:gridSpan w:val="2"/>
            <w:shd w:val="clear" w:color="auto" w:fill="D9E2F3"/>
            <w:vAlign w:val="center"/>
          </w:tcPr>
          <w:p w14:paraId="4FB5E82B" w14:textId="77777777" w:rsidR="008238E6" w:rsidRDefault="00D61AB3">
            <w:pPr>
              <w:spacing w:before="120" w:after="120"/>
              <w:rPr>
                <w:smallCaps/>
              </w:rPr>
            </w:pPr>
            <w:r>
              <w:rPr>
                <w:b/>
                <w:smallCaps/>
              </w:rPr>
              <w:t>INDICAÇÃO</w:t>
            </w:r>
          </w:p>
        </w:tc>
      </w:tr>
      <w:tr w:rsidR="008238E6" w14:paraId="4FB5E82E" w14:textId="77777777" w:rsidTr="3EF7B8AA">
        <w:tc>
          <w:tcPr>
            <w:tcW w:w="9102" w:type="dxa"/>
            <w:gridSpan w:val="2"/>
            <w:vAlign w:val="center"/>
          </w:tcPr>
          <w:p w14:paraId="4FB5E82D" w14:textId="77777777" w:rsidR="008238E6" w:rsidRDefault="00D61AB3">
            <w:pPr>
              <w:spacing w:before="120" w:after="120"/>
            </w:pPr>
            <w:r>
              <w:t xml:space="preserve">Pacientes diagnosticados com diabetes, com idade menor que 30 anos atualmente, e com probabilidade de 40% em MODY </w:t>
            </w:r>
            <w:r>
              <w:rPr>
                <w:i/>
              </w:rPr>
              <w:t>calculator</w:t>
            </w:r>
            <w:r>
              <w:t>.</w:t>
            </w:r>
          </w:p>
        </w:tc>
      </w:tr>
      <w:tr w:rsidR="008238E6" w14:paraId="4FB5E830" w14:textId="77777777" w:rsidTr="3EF7B8AA">
        <w:trPr>
          <w:trHeight w:val="460"/>
        </w:trPr>
        <w:tc>
          <w:tcPr>
            <w:tcW w:w="9102" w:type="dxa"/>
            <w:gridSpan w:val="2"/>
            <w:shd w:val="clear" w:color="auto" w:fill="D9E2F3"/>
            <w:vAlign w:val="center"/>
          </w:tcPr>
          <w:p w14:paraId="4FB5E82F" w14:textId="77777777" w:rsidR="008238E6" w:rsidRDefault="00D61AB3">
            <w:pPr>
              <w:spacing w:before="120" w:after="120"/>
              <w:rPr>
                <w:b/>
                <w:smallCaps/>
              </w:rPr>
            </w:pPr>
            <w:r>
              <w:rPr>
                <w:b/>
                <w:smallCaps/>
              </w:rPr>
              <w:t>INTRODUÇÃO</w:t>
            </w:r>
          </w:p>
        </w:tc>
      </w:tr>
      <w:tr w:rsidR="008238E6" w14:paraId="4FB5E839" w14:textId="77777777" w:rsidTr="3EF7B8AA">
        <w:tc>
          <w:tcPr>
            <w:tcW w:w="9102" w:type="dxa"/>
            <w:gridSpan w:val="2"/>
            <w:vAlign w:val="center"/>
          </w:tcPr>
          <w:p w14:paraId="4FB5E831" w14:textId="77777777" w:rsidR="008238E6" w:rsidRDefault="00D61AB3">
            <w:pPr>
              <w:spacing w:before="120" w:after="120"/>
            </w:pPr>
            <w:r>
              <w:t>O diabetes tipo MODY (</w:t>
            </w:r>
            <w:r>
              <w:rPr>
                <w:i/>
              </w:rPr>
              <w:t>Maturity Onset Diabetes of the Young</w:t>
            </w:r>
            <w:r>
              <w:t>) é uma forma de diabetes monogênica que se caracteriza por um conjunto de características clínicas específicas.</w:t>
            </w:r>
          </w:p>
          <w:p w14:paraId="4FB5E832" w14:textId="77777777" w:rsidR="008238E6" w:rsidRDefault="00D61AB3">
            <w:pPr>
              <w:spacing w:before="120" w:after="120"/>
            </w:pPr>
            <w:r>
              <w:t>Uma das principais características do MODY é o início precoce da doença, que geralmente se manifesta em jovens adultos, frequentemente antes dos 25 anos. Em algumas situações, o diagnóstico pode ocorrer ainda na infância ou adolescência.</w:t>
            </w:r>
          </w:p>
          <w:p w14:paraId="4FB5E833" w14:textId="77777777" w:rsidR="008238E6" w:rsidRDefault="00D61AB3">
            <w:pPr>
              <w:spacing w:before="120" w:after="120"/>
            </w:pPr>
            <w:r>
              <w:t>Adicionalmente, o MODY apresenta um padrão de herança autossômica dominante, o que significa que uma única cópia do gene mutado é suficiente para causar a condição. Essa hereditariedade é evidenciada por uma forte história familiar, com pelo menos duas gerações afetadas. A condição possui alta penetrância genética, com aproximadamente 95% dos indivíduos afetados desenvolvendo diabetes ou alterações glicêmicas até os 55 anos.</w:t>
            </w:r>
          </w:p>
          <w:p w14:paraId="4FB5E834" w14:textId="77777777" w:rsidR="008238E6" w:rsidRDefault="00D61AB3">
            <w:pPr>
              <w:spacing w:before="120" w:after="120"/>
            </w:pPr>
            <w:r>
              <w:t>Os sintomas clínicos do diabetes tipo MODY (</w:t>
            </w:r>
            <w:r>
              <w:rPr>
                <w:i/>
              </w:rPr>
              <w:t>Maturity Onset Diabetes of the Young</w:t>
            </w:r>
            <w:r>
              <w:t>) geralmente são leves ou podem estar ausentes no início da doença. Os pacientes frequentemente apresentam poliúria, que se refere à produção excessiva de urina, polidipsia, caracterizada por sede excessiva, e fadiga. Em alguns casos, a perda de peso também pode ser observada. A hiperglicemia é uma característica comum, variando de leve a moderada, dependendo do subtipo de MODY.</w:t>
            </w:r>
          </w:p>
          <w:p w14:paraId="4FB5E835" w14:textId="77777777" w:rsidR="008238E6" w:rsidRDefault="00D61AB3">
            <w:pPr>
              <w:spacing w:before="120" w:after="120"/>
            </w:pPr>
            <w:r>
              <w:t>Em termos de prevalência, o diabetes tipo MODY-1 representa entre 2% e 10% do total de casos. O MODY-2 corresponde entre 20% e 63% dos casos de MODY, enquanto o MODY-3 representa entre 21% e 72%. Outros subtipos são menos comuns e afetam um número reduzido de famílias. No Brasil, os subtipos mais comuns de DM monogênico são o MODY-GCK e MODY-HNF1A, respectivamente.</w:t>
            </w:r>
          </w:p>
          <w:p w14:paraId="4FB5E836" w14:textId="77777777" w:rsidR="008238E6" w:rsidRDefault="00D61AB3">
            <w:pPr>
              <w:spacing w:before="120" w:after="120"/>
            </w:pPr>
            <w:r>
              <w:t xml:space="preserve">Em termos clínicos, o diagnóstico baseia-se em um modelo de predição da probabilidade de diabetes tipo MODY, conhecido como MODY </w:t>
            </w:r>
            <w:r>
              <w:rPr>
                <w:i/>
              </w:rPr>
              <w:t>Probability Calculator</w:t>
            </w:r>
            <w:r>
              <w:t xml:space="preserve">. Este modelo utiliza uma combinação de dados clínico-laboratoriais de pacientes diagnosticados com diabetes mellitus antes dos 30 anos de idade. O ponto de corte observado para a probabilidade discriminatória entre diabetes tipo 1, diabetes tipo 2 e MODY, com sensibilidade igual ou superior a 80% e especificidade igual ou superior a 90%, foi estabelecido em 50%. </w:t>
            </w:r>
          </w:p>
          <w:p w14:paraId="4FB5E837" w14:textId="34B930CC" w:rsidR="008238E6" w:rsidRDefault="00D61AB3">
            <w:pPr>
              <w:spacing w:before="120" w:after="120"/>
            </w:pPr>
            <w:r w:rsidRPr="00FE4830">
              <w:t xml:space="preserve">Atualmente, existe a cobertura para o teste genético pela técnica de Sanger na Saúde Suplementar, conforme </w:t>
            </w:r>
            <w:r w:rsidR="00485AC0" w:rsidRPr="00FE4830">
              <w:t>previst</w:t>
            </w:r>
            <w:r w:rsidR="001D5CC8" w:rsidRPr="00FE4830">
              <w:t>o</w:t>
            </w:r>
            <w:r w:rsidRPr="00FE4830">
              <w:t xml:space="preserve"> no Anexo II da RN 465</w:t>
            </w:r>
            <w:r w:rsidR="001D5CC8" w:rsidRPr="00FE4830">
              <w:t>/2021</w:t>
            </w:r>
            <w:r w:rsidRPr="00FE4830">
              <w:t xml:space="preserve">, item 110, 1, letra "b".  O sequenciamento de Sanger é uma técnica tradicional que permite a análise de um gene por vez com alta precisão para detectar mutações pontuais e pequenas inserções ou deleções, sendo ideal para confirmar variantes genéticas em genes específicos (usualmente são testados os genes </w:t>
            </w:r>
            <w:r w:rsidRPr="00FE4830">
              <w:rPr>
                <w:rFonts w:ascii="Arial" w:eastAsia="Arial" w:hAnsi="Arial" w:cs="Arial"/>
                <w:i/>
                <w:color w:val="212121"/>
              </w:rPr>
              <w:t>GCK</w:t>
            </w:r>
            <w:r w:rsidRPr="00FE4830">
              <w:rPr>
                <w:rFonts w:ascii="Arial" w:eastAsia="Arial" w:hAnsi="Arial" w:cs="Arial"/>
                <w:color w:val="212121"/>
              </w:rPr>
              <w:t xml:space="preserve"> e </w:t>
            </w:r>
            <w:r w:rsidRPr="00FE4830">
              <w:rPr>
                <w:rFonts w:ascii="Arial" w:eastAsia="Arial" w:hAnsi="Arial" w:cs="Arial"/>
                <w:i/>
                <w:color w:val="212121"/>
              </w:rPr>
              <w:t>HNF1A)</w:t>
            </w:r>
            <w:r w:rsidRPr="00FE4830">
              <w:t>.</w:t>
            </w:r>
            <w:r>
              <w:t xml:space="preserve"> Já o painel MODY por sequenciamento de nova geração (NGS) analisa múltiplos genes simultaneamente (</w:t>
            </w:r>
            <w:r>
              <w:rPr>
                <w:rFonts w:ascii="Arial" w:eastAsia="Arial" w:hAnsi="Arial" w:cs="Arial"/>
                <w:i/>
                <w:color w:val="212121"/>
              </w:rPr>
              <w:t>HNF4A</w:t>
            </w:r>
            <w:r>
              <w:rPr>
                <w:rFonts w:ascii="Arial" w:eastAsia="Arial" w:hAnsi="Arial" w:cs="Arial"/>
                <w:color w:val="212121"/>
              </w:rPr>
              <w:t xml:space="preserve">; </w:t>
            </w:r>
            <w:r>
              <w:rPr>
                <w:rFonts w:ascii="Arial" w:eastAsia="Arial" w:hAnsi="Arial" w:cs="Arial"/>
                <w:i/>
                <w:color w:val="212121"/>
              </w:rPr>
              <w:t>GCK</w:t>
            </w:r>
            <w:r>
              <w:rPr>
                <w:rFonts w:ascii="Arial" w:eastAsia="Arial" w:hAnsi="Arial" w:cs="Arial"/>
                <w:color w:val="212121"/>
              </w:rPr>
              <w:t xml:space="preserve">; </w:t>
            </w:r>
            <w:r>
              <w:rPr>
                <w:rFonts w:ascii="Arial" w:eastAsia="Arial" w:hAnsi="Arial" w:cs="Arial"/>
                <w:i/>
                <w:color w:val="212121"/>
              </w:rPr>
              <w:t>HNF1A</w:t>
            </w:r>
            <w:r>
              <w:rPr>
                <w:rFonts w:ascii="Arial" w:eastAsia="Arial" w:hAnsi="Arial" w:cs="Arial"/>
                <w:color w:val="212121"/>
              </w:rPr>
              <w:t xml:space="preserve">; </w:t>
            </w:r>
            <w:r>
              <w:rPr>
                <w:rFonts w:ascii="Arial" w:eastAsia="Arial" w:hAnsi="Arial" w:cs="Arial"/>
                <w:i/>
                <w:color w:val="212121"/>
              </w:rPr>
              <w:t>PDX1</w:t>
            </w:r>
            <w:r>
              <w:rPr>
                <w:rFonts w:ascii="Arial" w:eastAsia="Arial" w:hAnsi="Arial" w:cs="Arial"/>
                <w:color w:val="212121"/>
              </w:rPr>
              <w:t xml:space="preserve">; </w:t>
            </w:r>
            <w:r>
              <w:rPr>
                <w:rFonts w:ascii="Arial" w:eastAsia="Arial" w:hAnsi="Arial" w:cs="Arial"/>
                <w:i/>
                <w:color w:val="212121"/>
              </w:rPr>
              <w:t>HNF1B</w:t>
            </w:r>
            <w:r>
              <w:rPr>
                <w:rFonts w:ascii="Arial" w:eastAsia="Arial" w:hAnsi="Arial" w:cs="Arial"/>
                <w:color w:val="212121"/>
              </w:rPr>
              <w:t xml:space="preserve">; </w:t>
            </w:r>
            <w:r>
              <w:rPr>
                <w:rFonts w:ascii="Arial" w:eastAsia="Arial" w:hAnsi="Arial" w:cs="Arial"/>
                <w:i/>
                <w:color w:val="212121"/>
              </w:rPr>
              <w:t>NEUROD1</w:t>
            </w:r>
            <w:r>
              <w:rPr>
                <w:rFonts w:ascii="Arial" w:eastAsia="Arial" w:hAnsi="Arial" w:cs="Arial"/>
                <w:color w:val="212121"/>
              </w:rPr>
              <w:t xml:space="preserve">; </w:t>
            </w:r>
            <w:r>
              <w:rPr>
                <w:rFonts w:ascii="Arial" w:eastAsia="Arial" w:hAnsi="Arial" w:cs="Arial"/>
                <w:i/>
                <w:color w:val="212121"/>
              </w:rPr>
              <w:t>KLF11</w:t>
            </w:r>
            <w:r>
              <w:rPr>
                <w:rFonts w:ascii="Arial" w:eastAsia="Arial" w:hAnsi="Arial" w:cs="Arial"/>
                <w:color w:val="212121"/>
              </w:rPr>
              <w:t xml:space="preserve">; </w:t>
            </w:r>
            <w:r>
              <w:rPr>
                <w:rFonts w:ascii="Arial" w:eastAsia="Arial" w:hAnsi="Arial" w:cs="Arial"/>
                <w:i/>
                <w:color w:val="212121"/>
              </w:rPr>
              <w:t>CEL</w:t>
            </w:r>
            <w:r>
              <w:rPr>
                <w:rFonts w:ascii="Arial" w:eastAsia="Arial" w:hAnsi="Arial" w:cs="Arial"/>
                <w:color w:val="212121"/>
              </w:rPr>
              <w:t xml:space="preserve">; </w:t>
            </w:r>
            <w:r>
              <w:rPr>
                <w:rFonts w:ascii="Arial" w:eastAsia="Arial" w:hAnsi="Arial" w:cs="Arial"/>
                <w:i/>
                <w:color w:val="212121"/>
              </w:rPr>
              <w:t>PAX4</w:t>
            </w:r>
            <w:r>
              <w:rPr>
                <w:rFonts w:ascii="Arial" w:eastAsia="Arial" w:hAnsi="Arial" w:cs="Arial"/>
                <w:color w:val="212121"/>
              </w:rPr>
              <w:t xml:space="preserve">; </w:t>
            </w:r>
            <w:r>
              <w:rPr>
                <w:rFonts w:ascii="Arial" w:eastAsia="Arial" w:hAnsi="Arial" w:cs="Arial"/>
                <w:i/>
                <w:color w:val="212121"/>
              </w:rPr>
              <w:t>INS</w:t>
            </w:r>
            <w:r>
              <w:rPr>
                <w:rFonts w:ascii="Arial" w:eastAsia="Arial" w:hAnsi="Arial" w:cs="Arial"/>
                <w:color w:val="212121"/>
              </w:rPr>
              <w:t xml:space="preserve">; </w:t>
            </w:r>
            <w:r>
              <w:rPr>
                <w:rFonts w:ascii="Arial" w:eastAsia="Arial" w:hAnsi="Arial" w:cs="Arial"/>
                <w:i/>
                <w:color w:val="212121"/>
              </w:rPr>
              <w:t>BLK</w:t>
            </w:r>
            <w:r>
              <w:rPr>
                <w:rFonts w:ascii="Arial" w:eastAsia="Arial" w:hAnsi="Arial" w:cs="Arial"/>
                <w:color w:val="212121"/>
              </w:rPr>
              <w:t xml:space="preserve">; </w:t>
            </w:r>
            <w:r>
              <w:rPr>
                <w:rFonts w:ascii="Arial" w:eastAsia="Arial" w:hAnsi="Arial" w:cs="Arial"/>
                <w:i/>
                <w:color w:val="212121"/>
              </w:rPr>
              <w:t>ABCC8</w:t>
            </w:r>
            <w:r>
              <w:rPr>
                <w:rFonts w:ascii="Arial" w:eastAsia="Arial" w:hAnsi="Arial" w:cs="Arial"/>
                <w:color w:val="212121"/>
              </w:rPr>
              <w:t xml:space="preserve">; </w:t>
            </w:r>
            <w:r>
              <w:rPr>
                <w:rFonts w:ascii="Arial" w:eastAsia="Arial" w:hAnsi="Arial" w:cs="Arial"/>
                <w:i/>
                <w:color w:val="212121"/>
              </w:rPr>
              <w:t xml:space="preserve">KCNJ11 </w:t>
            </w:r>
            <w:r>
              <w:rPr>
                <w:rFonts w:ascii="Arial" w:eastAsia="Arial" w:hAnsi="Arial" w:cs="Arial"/>
                <w:color w:val="212121"/>
              </w:rPr>
              <w:t>e</w:t>
            </w:r>
            <w:r>
              <w:rPr>
                <w:rFonts w:ascii="Arial" w:eastAsia="Arial" w:hAnsi="Arial" w:cs="Arial"/>
                <w:i/>
                <w:color w:val="212121"/>
              </w:rPr>
              <w:t xml:space="preserve"> APPL1)</w:t>
            </w:r>
            <w:r>
              <w:t xml:space="preserve">, detectando uma gama mais ampla de mutações, incluindo variações estruturais maiores e alterações em regiões não codificantes. </w:t>
            </w:r>
          </w:p>
          <w:p w14:paraId="4FB5E838" w14:textId="77777777" w:rsidR="008238E6" w:rsidRDefault="008238E6">
            <w:pPr>
              <w:spacing w:before="120" w:after="120"/>
            </w:pPr>
          </w:p>
        </w:tc>
      </w:tr>
      <w:tr w:rsidR="008238E6" w14:paraId="4FB5E83B" w14:textId="77777777" w:rsidTr="3EF7B8AA">
        <w:tc>
          <w:tcPr>
            <w:tcW w:w="9102" w:type="dxa"/>
            <w:gridSpan w:val="2"/>
            <w:shd w:val="clear" w:color="auto" w:fill="D9E2F3"/>
            <w:vAlign w:val="center"/>
          </w:tcPr>
          <w:p w14:paraId="4FB5E83A" w14:textId="77777777" w:rsidR="008238E6" w:rsidRDefault="00D61AB3">
            <w:pPr>
              <w:spacing w:before="120" w:after="120"/>
              <w:jc w:val="center"/>
              <w:rPr>
                <w:smallCaps/>
              </w:rPr>
            </w:pPr>
            <w:r>
              <w:rPr>
                <w:b/>
              </w:rPr>
              <w:t>PERGUNTA ESTRUTURADA</w:t>
            </w:r>
          </w:p>
        </w:tc>
      </w:tr>
      <w:tr w:rsidR="008238E6" w14:paraId="4FB5E83E" w14:textId="77777777" w:rsidTr="3EF7B8AA">
        <w:trPr>
          <w:trHeight w:val="405"/>
        </w:trPr>
        <w:tc>
          <w:tcPr>
            <w:tcW w:w="4551" w:type="dxa"/>
            <w:vAlign w:val="center"/>
          </w:tcPr>
          <w:p w14:paraId="4FB5E83C" w14:textId="77777777" w:rsidR="008238E6" w:rsidRDefault="00D61AB3">
            <w:pPr>
              <w:spacing w:before="120" w:after="120"/>
              <w:jc w:val="center"/>
              <w:rPr>
                <w:i/>
              </w:rPr>
            </w:pPr>
            <w:r>
              <w:rPr>
                <w:i/>
              </w:rPr>
              <w:t>Proponente</w:t>
            </w:r>
          </w:p>
        </w:tc>
        <w:tc>
          <w:tcPr>
            <w:tcW w:w="4551" w:type="dxa"/>
            <w:vAlign w:val="center"/>
          </w:tcPr>
          <w:p w14:paraId="4FB5E83D" w14:textId="77777777" w:rsidR="008238E6" w:rsidRDefault="00D61AB3">
            <w:pPr>
              <w:spacing w:before="120" w:after="120"/>
              <w:jc w:val="center"/>
              <w:rPr>
                <w:i/>
              </w:rPr>
            </w:pPr>
            <w:r>
              <w:rPr>
                <w:i/>
              </w:rPr>
              <w:t>Parecerista</w:t>
            </w:r>
          </w:p>
        </w:tc>
      </w:tr>
      <w:tr w:rsidR="008238E6" w14:paraId="4FB5E841" w14:textId="77777777" w:rsidTr="3EF7B8AA">
        <w:trPr>
          <w:trHeight w:val="480"/>
        </w:trPr>
        <w:tc>
          <w:tcPr>
            <w:tcW w:w="4551" w:type="dxa"/>
            <w:vAlign w:val="center"/>
          </w:tcPr>
          <w:p w14:paraId="4FB5E83F" w14:textId="77777777" w:rsidR="008238E6" w:rsidRDefault="00D61AB3">
            <w:pPr>
              <w:spacing w:before="120" w:after="120"/>
            </w:pPr>
            <w:r>
              <w:t>Existe diferença no cuidado do indivíduo precocemente diagnosticado com diabetes tipo MODY por meio de teste genético?</w:t>
            </w:r>
          </w:p>
        </w:tc>
        <w:tc>
          <w:tcPr>
            <w:tcW w:w="4551" w:type="dxa"/>
            <w:vAlign w:val="center"/>
          </w:tcPr>
          <w:p w14:paraId="4FB5E840" w14:textId="5AD1DE22" w:rsidR="008238E6" w:rsidRDefault="00D61AB3">
            <w:pPr>
              <w:spacing w:before="120" w:after="120"/>
            </w:pPr>
            <w:r>
              <w:t>Em pacientes com suspeita de diabetes tipo MODY com diagnóstico anterior aos 30 anos de idade, o diagnóstico por teste genético é mais eficaz para implementação do</w:t>
            </w:r>
            <w:r w:rsidR="001D5CC8">
              <w:t xml:space="preserve"> </w:t>
            </w:r>
            <w:r>
              <w:t>melhor</w:t>
            </w:r>
            <w:r w:rsidR="001D5CC8">
              <w:t xml:space="preserve"> </w:t>
            </w:r>
            <w:r>
              <w:t>tratamento farmacológico e redução de efeitos adversos e de complicações crônicas, quando comparado ao diagnóstico clínico (probabilidade igual ou superior a 60% de MODY em calculadora validada)?</w:t>
            </w:r>
          </w:p>
        </w:tc>
      </w:tr>
      <w:tr w:rsidR="008238E6" w14:paraId="4FB5E843" w14:textId="77777777" w:rsidTr="3EF7B8AA">
        <w:trPr>
          <w:trHeight w:val="391"/>
        </w:trPr>
        <w:tc>
          <w:tcPr>
            <w:tcW w:w="9102" w:type="dxa"/>
            <w:gridSpan w:val="2"/>
            <w:shd w:val="clear" w:color="auto" w:fill="D9E2F3"/>
            <w:vAlign w:val="center"/>
          </w:tcPr>
          <w:p w14:paraId="4FB5E842" w14:textId="77777777" w:rsidR="008238E6" w:rsidRDefault="00D61AB3">
            <w:pPr>
              <w:spacing w:before="120" w:after="120"/>
              <w:jc w:val="center"/>
              <w:rPr>
                <w:b/>
                <w:smallCaps/>
                <w:highlight w:val="cyan"/>
              </w:rPr>
            </w:pPr>
            <w:r>
              <w:rPr>
                <w:b/>
                <w:smallCaps/>
              </w:rPr>
              <w:t>EFICÁCIA/EFETIVIDADE/SEGURANÇA</w:t>
            </w:r>
          </w:p>
        </w:tc>
      </w:tr>
      <w:tr w:rsidR="008238E6" w14:paraId="4FB5E846" w14:textId="77777777" w:rsidTr="3EF7B8AA">
        <w:trPr>
          <w:trHeight w:val="275"/>
        </w:trPr>
        <w:tc>
          <w:tcPr>
            <w:tcW w:w="4551" w:type="dxa"/>
            <w:vAlign w:val="center"/>
          </w:tcPr>
          <w:p w14:paraId="4FB5E844" w14:textId="77777777" w:rsidR="008238E6" w:rsidRDefault="00D61AB3">
            <w:pPr>
              <w:spacing w:before="120" w:after="120"/>
              <w:jc w:val="center"/>
              <w:rPr>
                <w:i/>
              </w:rPr>
            </w:pPr>
            <w:r>
              <w:rPr>
                <w:i/>
              </w:rPr>
              <w:t>Proponente</w:t>
            </w:r>
          </w:p>
        </w:tc>
        <w:tc>
          <w:tcPr>
            <w:tcW w:w="4551" w:type="dxa"/>
            <w:vAlign w:val="center"/>
          </w:tcPr>
          <w:p w14:paraId="4FB5E845" w14:textId="77777777" w:rsidR="008238E6" w:rsidRDefault="00D61AB3">
            <w:pPr>
              <w:spacing w:before="120" w:after="120"/>
              <w:jc w:val="center"/>
              <w:rPr>
                <w:i/>
              </w:rPr>
            </w:pPr>
            <w:r>
              <w:rPr>
                <w:i/>
              </w:rPr>
              <w:t>Parecerista</w:t>
            </w:r>
          </w:p>
        </w:tc>
      </w:tr>
      <w:tr w:rsidR="008238E6" w14:paraId="4FB5E84B" w14:textId="77777777" w:rsidTr="3EF7B8AA">
        <w:trPr>
          <w:trHeight w:val="1005"/>
        </w:trPr>
        <w:tc>
          <w:tcPr>
            <w:tcW w:w="4551" w:type="dxa"/>
          </w:tcPr>
          <w:p w14:paraId="4FB5E847" w14:textId="77777777" w:rsidR="008238E6" w:rsidRDefault="00D61AB3">
            <w:pPr>
              <w:spacing w:before="120" w:after="120"/>
              <w:rPr>
                <w:highlight w:val="cyan"/>
              </w:rPr>
            </w:pPr>
            <w:r>
              <w:t>A revisão apresentou os dados provenientes, em sua maioria, de relatos de caso de pacientes que tiveram seu diagnóstico de diabetes tipo 1 ou 2 e, após suspeita, realizado teste genético para identificação de diabetes MODY. Existem 14 tipos de MODY, porém os mais citados e prevalentes na literatura são os tipos 2 e 3. O presente estudo apresentou isso nos relatos de caso e coortes, uma vez que o tratamento apresentado foi modificado ao diagnóstico em sua maioria com a retirada da insulina e com uso de dieta somente ou de sulfonilureia. Vale destacar que alguns casos também mantiveram tratamentos combinados para controle da glicemia.</w:t>
            </w:r>
          </w:p>
        </w:tc>
        <w:tc>
          <w:tcPr>
            <w:tcW w:w="4551" w:type="dxa"/>
            <w:vAlign w:val="center"/>
          </w:tcPr>
          <w:p w14:paraId="4FB5E848" w14:textId="77777777" w:rsidR="008238E6" w:rsidRDefault="00D61AB3">
            <w:pPr>
              <w:spacing w:before="120" w:after="120"/>
            </w:pPr>
            <w:r>
              <w:t>Os PARECERISTAS incluíram em sua análise dois estudos de coorte prospectivos, realizados por Shepherd em 2009 e 2018, ambos com alto risco de viés, que investigaram o impacto do diagnóstico genético (mudança na farmacoterapia) em pacientes com suspeita de MODY, apresentando um baixo nível de certeza da evidência para esse desfecho.</w:t>
            </w:r>
          </w:p>
          <w:p w14:paraId="4FB5E849" w14:textId="01B9F6C1" w:rsidR="008238E6" w:rsidRDefault="00D61AB3">
            <w:pPr>
              <w:spacing w:before="120" w:after="120"/>
            </w:pPr>
            <w:r>
              <w:t xml:space="preserve">No estudo de 2009, que envolveu 43 pacientes, 34 indivíduos (79%) interromperam o uso de insulina para iniciar o tratamento com sulfonilureia, 8 pacientes (19%) não tentaram a transferência e permaneceram com insulina, e um paciente (2%) iniciou o tratamento com metformina. Dos 34 pacientes que realizaram a troca para a sulfoniluréia, 10 (29%) voltaram a utilizar insulina. </w:t>
            </w:r>
          </w:p>
          <w:p w14:paraId="4FB5E84A" w14:textId="745E0C87" w:rsidR="008238E6" w:rsidRDefault="00D61AB3">
            <w:pPr>
              <w:spacing w:before="120" w:after="120"/>
              <w:rPr>
                <w:highlight w:val="cyan"/>
              </w:rPr>
            </w:pPr>
            <w:r>
              <w:t>No estudo de Shepherd de 2018, dos 58 pacientes que estavam em uso de medicamentos antes do diagnóstico, 44 indivíduos (75,9%) mudaram de tratamento após o diagnóstico, enquanto 14 (24,1%) mantiveram a terapia.</w:t>
            </w:r>
          </w:p>
        </w:tc>
      </w:tr>
      <w:tr w:rsidR="008238E6" w14:paraId="4FB5E84D" w14:textId="77777777" w:rsidTr="3EF7B8AA">
        <w:tc>
          <w:tcPr>
            <w:tcW w:w="9102" w:type="dxa"/>
            <w:gridSpan w:val="2"/>
            <w:shd w:val="clear" w:color="auto" w:fill="D9E2F3"/>
            <w:vAlign w:val="center"/>
          </w:tcPr>
          <w:p w14:paraId="4FB5E84C" w14:textId="77777777" w:rsidR="008238E6" w:rsidRDefault="00D61AB3">
            <w:pPr>
              <w:spacing w:before="120" w:after="120"/>
              <w:jc w:val="center"/>
              <w:rPr>
                <w:b/>
                <w:smallCaps/>
              </w:rPr>
            </w:pPr>
            <w:r>
              <w:rPr>
                <w:b/>
                <w:smallCaps/>
              </w:rPr>
              <w:t>AVALIAÇÃO ECONÔMICA</w:t>
            </w:r>
          </w:p>
        </w:tc>
      </w:tr>
      <w:tr w:rsidR="008238E6" w14:paraId="4FB5E857" w14:textId="77777777" w:rsidTr="3EF7B8AA">
        <w:tc>
          <w:tcPr>
            <w:tcW w:w="9102" w:type="dxa"/>
            <w:gridSpan w:val="2"/>
            <w:vAlign w:val="center"/>
          </w:tcPr>
          <w:p w14:paraId="4FB5E84E" w14:textId="213B7322" w:rsidR="008238E6" w:rsidRDefault="00D61AB3">
            <w:r>
              <w:t xml:space="preserve"> A avaliação econômica apresentada pelo PROPONENTE foi baseada em uma análise de custo-utilidade a partir de um modelo de Markov do tipo coorte simulada desenvolvido no MS Excel.  Modelo parcialmente adequado. Há uma</w:t>
            </w:r>
            <w:r w:rsidR="00676DD1">
              <w:t xml:space="preserve"> </w:t>
            </w:r>
            <w:r>
              <w:t xml:space="preserve">importante falta de transparência com relação ao funcionamento do modelo. </w:t>
            </w:r>
            <w:r w:rsidR="00C76691">
              <w:t>Além da falta de transparência nos métodos de modelagem, a principal crítica a ser feita é a de não considerar métodos alternativos para identificação de MODY no braço comparador.</w:t>
            </w:r>
            <w:r w:rsidR="00753519">
              <w:t xml:space="preserve"> </w:t>
            </w:r>
            <w:r>
              <w:t xml:space="preserve">O modelo assume que o diagnóstico clínico de MODY por meio da calculadora MODY e de exames laboratoriais cobertos </w:t>
            </w:r>
            <w:r w:rsidR="003243E6">
              <w:t>no</w:t>
            </w:r>
            <w:r>
              <w:t xml:space="preserve"> rol (como peptídeo C e anticorpos anti-ilhotas) já está igualmente contemplado em ambos </w:t>
            </w:r>
            <w:r w:rsidR="00A00860">
              <w:t xml:space="preserve">os </w:t>
            </w:r>
            <w:r>
              <w:t>braços do modelo, não atribuindo custos específicos a essa estratégia. Assim, o comparador utilizado no modelo (ausência de teste genético para MODY) revela-se parcialmente adequado. Outro ponto crítico reside em premissas com elevado grau de incerteza utilizadas pelo proponente: (1) premissa de acurácia perfeita do teste genético para MODY; (2) premissa de ausência de identificação e tratamento otimizado de MODY no braço comparador do modelo (ou seja, grupo comparador sem nenhum teste para MODY); (3) tradução do diagnóstico de MODY em tratamento assertivo com redução da HbA1c média em 1,2% para 79% dos pacientes MODY que passarão a ser tratados com sulfonilureias; (4) tradução da redução da HbA1c em benefício clínico, com redução nos casos de retinopatia e de micro/macroalbuminúria ao longo do tempo. O pressuposto (1) não é absolutamente verdadeiro, mas é aceitável; o pressuposto (2) pode ser considerado falso pois, em verdade, existe forma alternativa vigente para o diagnóstico de MODY que não foi modelada; os demais pressupostos apresentam elevado grau de incerteza e estão pobremente embasados nas referências fornecidas.</w:t>
            </w:r>
            <w:r w:rsidR="00906B16">
              <w:t xml:space="preserve"> Além disso, </w:t>
            </w:r>
            <w:r w:rsidR="00A659F8">
              <w:t xml:space="preserve">o </w:t>
            </w:r>
            <w:r w:rsidR="00A659F8" w:rsidRPr="00A659F8">
              <w:t xml:space="preserve">código CBHPM referenciado pelo proponente </w:t>
            </w:r>
            <w:r w:rsidR="00A659F8">
              <w:t>(</w:t>
            </w:r>
            <w:r w:rsidR="00A659F8" w:rsidRPr="00A659F8">
              <w:t>40503895</w:t>
            </w:r>
            <w:r w:rsidR="00A659F8">
              <w:t>)</w:t>
            </w:r>
            <w:r w:rsidR="008A468D">
              <w:t xml:space="preserve"> na definição do custo do procedimento</w:t>
            </w:r>
            <w:r w:rsidR="00A659F8" w:rsidRPr="00A659F8">
              <w:t xml:space="preserve"> não se aplica para a tecnologia em avaliação pois é referente a </w:t>
            </w:r>
            <w:r w:rsidR="00853688">
              <w:t>DNA</w:t>
            </w:r>
            <w:r w:rsidR="00A659F8" w:rsidRPr="00A659F8">
              <w:t xml:space="preserve"> tumoral.</w:t>
            </w:r>
          </w:p>
          <w:p w14:paraId="4FB5E856" w14:textId="51B2B366" w:rsidR="008238E6" w:rsidRDefault="00D61AB3" w:rsidP="3EF7B8AA">
            <w:pPr>
              <w:rPr>
                <w:i/>
                <w:iCs/>
                <w:color w:val="FF0000"/>
              </w:rPr>
            </w:pPr>
            <w:r>
              <w:t xml:space="preserve">     O teste genético para diagnóstico de diabetes tipo MODY gerou um incremento de utilidade de 1,24 comparado ao cuidado padrão sem teste genético, a um custo incremental de R$798,95 por paciente. A razão de custo-efetividade incremental (RCEI) foi de R$646,29 /AVAQ. Existe elevado grau de incerteza nesse resultado</w:t>
            </w:r>
            <w:r w:rsidR="3EA4FFE6">
              <w:t>.</w:t>
            </w:r>
            <w:r w:rsidR="008B1A35">
              <w:t xml:space="preserve"> </w:t>
            </w:r>
          </w:p>
        </w:tc>
      </w:tr>
      <w:tr w:rsidR="008238E6" w14:paraId="4FB5E859" w14:textId="77777777" w:rsidTr="3EF7B8AA">
        <w:tc>
          <w:tcPr>
            <w:tcW w:w="9102" w:type="dxa"/>
            <w:gridSpan w:val="2"/>
            <w:shd w:val="clear" w:color="auto" w:fill="D9E2F3"/>
            <w:vAlign w:val="center"/>
          </w:tcPr>
          <w:p w14:paraId="4FB5E858" w14:textId="77777777" w:rsidR="008238E6" w:rsidRDefault="00D61AB3">
            <w:pPr>
              <w:spacing w:before="120" w:after="120"/>
              <w:jc w:val="center"/>
              <w:rPr>
                <w:highlight w:val="cyan"/>
              </w:rPr>
            </w:pPr>
            <w:r>
              <w:rPr>
                <w:b/>
                <w:smallCaps/>
              </w:rPr>
              <w:t>IMPACTO ORÇAMENTÁRIO</w:t>
            </w:r>
          </w:p>
        </w:tc>
      </w:tr>
      <w:tr w:rsidR="008238E6" w14:paraId="4FB5E85C" w14:textId="77777777" w:rsidTr="3EF7B8AA">
        <w:tc>
          <w:tcPr>
            <w:tcW w:w="4551" w:type="dxa"/>
            <w:vAlign w:val="center"/>
          </w:tcPr>
          <w:p w14:paraId="4FB5E85A" w14:textId="77777777" w:rsidR="008238E6" w:rsidRDefault="00D61AB3">
            <w:pPr>
              <w:spacing w:before="120" w:after="120"/>
              <w:jc w:val="center"/>
              <w:rPr>
                <w:i/>
              </w:rPr>
            </w:pPr>
            <w:r>
              <w:rPr>
                <w:i/>
              </w:rPr>
              <w:t>Proponente</w:t>
            </w:r>
          </w:p>
        </w:tc>
        <w:tc>
          <w:tcPr>
            <w:tcW w:w="4551" w:type="dxa"/>
            <w:vAlign w:val="center"/>
          </w:tcPr>
          <w:p w14:paraId="4FB5E85B" w14:textId="77777777" w:rsidR="008238E6" w:rsidRDefault="00D61AB3">
            <w:pPr>
              <w:spacing w:before="120" w:after="120"/>
              <w:jc w:val="center"/>
              <w:rPr>
                <w:i/>
              </w:rPr>
            </w:pPr>
            <w:r>
              <w:rPr>
                <w:i/>
              </w:rPr>
              <w:t>Parecerista</w:t>
            </w:r>
          </w:p>
        </w:tc>
      </w:tr>
      <w:tr w:rsidR="008238E6" w14:paraId="4FB5E861" w14:textId="77777777" w:rsidTr="3EF7B8AA">
        <w:tc>
          <w:tcPr>
            <w:tcW w:w="4551" w:type="dxa"/>
            <w:vAlign w:val="center"/>
          </w:tcPr>
          <w:p w14:paraId="4FB5E85D" w14:textId="77777777" w:rsidR="008238E6" w:rsidRDefault="00D61AB3">
            <w:pPr>
              <w:spacing w:before="120" w:after="120"/>
              <w:rPr>
                <w:i/>
                <w:color w:val="FF0000"/>
                <w:highlight w:val="yellow"/>
              </w:rPr>
            </w:pPr>
            <w:r>
              <w:rPr>
                <w:highlight w:val="white"/>
              </w:rPr>
              <w:t>O PROPONENTE apresenta um modelo de análise de impacto orçamentário com um impacto incremental de R$150.704.430,09 no final de 5 anos, com uma média simples anual de R$30.140.886,01 no período de 5 anos. A análise foi refeita com metodologia diversa.</w:t>
            </w:r>
          </w:p>
        </w:tc>
        <w:tc>
          <w:tcPr>
            <w:tcW w:w="4551" w:type="dxa"/>
            <w:vAlign w:val="center"/>
          </w:tcPr>
          <w:p w14:paraId="4FB5E85E" w14:textId="1C7D0495" w:rsidR="001D171D" w:rsidRDefault="001D171D" w:rsidP="001D171D">
            <w:pPr>
              <w:spacing w:before="120" w:after="120"/>
            </w:pPr>
            <w:r>
              <w:t>O PARECERISTA recalcula um modelo de análise de impacto orçamentário</w:t>
            </w:r>
            <w:r w:rsidR="008618CD">
              <w:t xml:space="preserve">, mudando parâmetros na população, market share e custos, resultando em </w:t>
            </w:r>
            <w:r>
              <w:t xml:space="preserve">um impacto incremental de R$ </w:t>
            </w:r>
            <w:r w:rsidR="00C4383A">
              <w:t xml:space="preserve">663.204.619,91 </w:t>
            </w:r>
            <w:r>
              <w:t xml:space="preserve">no </w:t>
            </w:r>
            <w:r w:rsidR="00643B15">
              <w:t>período</w:t>
            </w:r>
            <w:r>
              <w:t xml:space="preserve"> de 5 anos, c</w:t>
            </w:r>
            <w:r w:rsidR="6FCA16AE">
              <w:t xml:space="preserve">orrespondente à </w:t>
            </w:r>
            <w:r>
              <w:t xml:space="preserve">média simples anual de R$ </w:t>
            </w:r>
            <w:r w:rsidR="00643B15">
              <w:t>132.640.923,98</w:t>
            </w:r>
            <w:r>
              <w:t>.</w:t>
            </w:r>
          </w:p>
          <w:p w14:paraId="4FB5E860" w14:textId="3420A4FD" w:rsidR="008238E6" w:rsidRDefault="008238E6">
            <w:pPr>
              <w:spacing w:before="120" w:after="120"/>
              <w:rPr>
                <w:highlight w:val="white"/>
              </w:rPr>
            </w:pPr>
          </w:p>
        </w:tc>
      </w:tr>
      <w:tr w:rsidR="008238E6" w14:paraId="4FB5E863" w14:textId="77777777" w:rsidTr="3EF7B8AA">
        <w:trPr>
          <w:trHeight w:val="330"/>
        </w:trPr>
        <w:tc>
          <w:tcPr>
            <w:tcW w:w="9102" w:type="dxa"/>
            <w:gridSpan w:val="2"/>
            <w:shd w:val="clear" w:color="auto" w:fill="D9E2F3"/>
            <w:vAlign w:val="center"/>
          </w:tcPr>
          <w:p w14:paraId="4FB5E862" w14:textId="77777777" w:rsidR="008238E6" w:rsidRDefault="00D61AB3">
            <w:pPr>
              <w:spacing w:before="120" w:after="120"/>
              <w:jc w:val="center"/>
              <w:rPr>
                <w:highlight w:val="cyan"/>
              </w:rPr>
            </w:pPr>
            <w:r>
              <w:rPr>
                <w:b/>
                <w:smallCaps/>
              </w:rPr>
              <w:t>EXPERIÊNCIA INTERNACIONAL</w:t>
            </w:r>
          </w:p>
        </w:tc>
      </w:tr>
      <w:tr w:rsidR="008238E6" w14:paraId="4FB5E866" w14:textId="77777777" w:rsidTr="3EF7B8AA">
        <w:tc>
          <w:tcPr>
            <w:tcW w:w="4551" w:type="dxa"/>
            <w:vAlign w:val="center"/>
          </w:tcPr>
          <w:p w14:paraId="4FB5E864" w14:textId="77777777" w:rsidR="008238E6" w:rsidRDefault="00D61AB3">
            <w:pPr>
              <w:spacing w:before="120" w:after="120"/>
              <w:jc w:val="center"/>
              <w:rPr>
                <w:i/>
              </w:rPr>
            </w:pPr>
            <w:r>
              <w:rPr>
                <w:i/>
              </w:rPr>
              <w:t>Proponente</w:t>
            </w:r>
          </w:p>
        </w:tc>
        <w:tc>
          <w:tcPr>
            <w:tcW w:w="4551" w:type="dxa"/>
            <w:vAlign w:val="center"/>
          </w:tcPr>
          <w:p w14:paraId="4FB5E865" w14:textId="77777777" w:rsidR="008238E6" w:rsidRDefault="00D61AB3">
            <w:pPr>
              <w:spacing w:before="120" w:after="120"/>
              <w:jc w:val="center"/>
              <w:rPr>
                <w:i/>
              </w:rPr>
            </w:pPr>
            <w:r>
              <w:rPr>
                <w:i/>
              </w:rPr>
              <w:t>Parecerista</w:t>
            </w:r>
          </w:p>
        </w:tc>
      </w:tr>
      <w:tr w:rsidR="008238E6" w14:paraId="4FB5E869" w14:textId="77777777" w:rsidTr="3EF7B8AA">
        <w:tc>
          <w:tcPr>
            <w:tcW w:w="4551" w:type="dxa"/>
            <w:vAlign w:val="center"/>
          </w:tcPr>
          <w:p w14:paraId="4FB5E867" w14:textId="7E2E90A5" w:rsidR="008238E6" w:rsidRDefault="00D61AB3">
            <w:pPr>
              <w:spacing w:before="120" w:after="120"/>
              <w:rPr>
                <w:highlight w:val="yellow"/>
              </w:rPr>
            </w:pPr>
            <w:r>
              <w:t>O PROPONENTE não relatou em seu relatório pesquisa relacionada às recomendações das agências de ATS</w:t>
            </w:r>
          </w:p>
        </w:tc>
        <w:tc>
          <w:tcPr>
            <w:tcW w:w="4551" w:type="dxa"/>
            <w:vAlign w:val="center"/>
          </w:tcPr>
          <w:p w14:paraId="4FB5E868" w14:textId="6CEB67CD" w:rsidR="008238E6" w:rsidRDefault="00D61AB3">
            <w:pPr>
              <w:spacing w:before="120" w:after="120"/>
            </w:pPr>
            <w:r>
              <w:t xml:space="preserve">Foi realizada busca nas principais agências de ATS. </w:t>
            </w:r>
            <w:r w:rsidR="000F48C6">
              <w:t>Até</w:t>
            </w:r>
            <w:r>
              <w:t xml:space="preserve"> o momento</w:t>
            </w:r>
            <w:r w:rsidR="000F48C6">
              <w:t>,</w:t>
            </w:r>
            <w:r>
              <w:t xml:space="preserve"> não há evidências diretas de recomendações específicas de agências internacionais de Avaliação de Tecnologias em Saúde (ATS) para pagamento/reembolso de testes genéticos para diagnóstico de diabetes tipo MODY</w:t>
            </w:r>
            <w:r w:rsidR="000F48C6">
              <w:t>.</w:t>
            </w:r>
          </w:p>
        </w:tc>
      </w:tr>
      <w:tr w:rsidR="008238E6" w14:paraId="4FB5E86B" w14:textId="77777777" w:rsidTr="3EF7B8AA">
        <w:tc>
          <w:tcPr>
            <w:tcW w:w="9102" w:type="dxa"/>
            <w:gridSpan w:val="2"/>
            <w:shd w:val="clear" w:color="auto" w:fill="D9E2F3"/>
            <w:vAlign w:val="center"/>
          </w:tcPr>
          <w:p w14:paraId="4FB5E86A" w14:textId="77777777" w:rsidR="008238E6" w:rsidRDefault="00D61AB3">
            <w:pPr>
              <w:spacing w:before="120" w:after="120"/>
              <w:jc w:val="center"/>
              <w:rPr>
                <w:highlight w:val="cyan"/>
              </w:rPr>
            </w:pPr>
            <w:r>
              <w:rPr>
                <w:b/>
                <w:smallCaps/>
              </w:rPr>
              <w:t>CONSIDERAÇÕES FINAIS</w:t>
            </w:r>
          </w:p>
        </w:tc>
      </w:tr>
      <w:tr w:rsidR="008238E6" w14:paraId="4FB5E86E" w14:textId="77777777" w:rsidTr="3EF7B8AA">
        <w:tc>
          <w:tcPr>
            <w:tcW w:w="4551" w:type="dxa"/>
            <w:vAlign w:val="center"/>
          </w:tcPr>
          <w:p w14:paraId="4FB5E86C" w14:textId="77777777" w:rsidR="008238E6" w:rsidRDefault="00D61AB3">
            <w:pPr>
              <w:spacing w:before="120" w:after="120"/>
              <w:jc w:val="center"/>
              <w:rPr>
                <w:i/>
              </w:rPr>
            </w:pPr>
            <w:r>
              <w:rPr>
                <w:i/>
              </w:rPr>
              <w:t>Proponente</w:t>
            </w:r>
          </w:p>
        </w:tc>
        <w:tc>
          <w:tcPr>
            <w:tcW w:w="4551" w:type="dxa"/>
            <w:vAlign w:val="center"/>
          </w:tcPr>
          <w:p w14:paraId="4FB5E86D" w14:textId="77777777" w:rsidR="008238E6" w:rsidRDefault="00D61AB3">
            <w:pPr>
              <w:spacing w:before="120" w:after="120"/>
              <w:jc w:val="center"/>
              <w:rPr>
                <w:i/>
              </w:rPr>
            </w:pPr>
            <w:r>
              <w:rPr>
                <w:i/>
              </w:rPr>
              <w:t>Parecerista</w:t>
            </w:r>
          </w:p>
        </w:tc>
      </w:tr>
      <w:tr w:rsidR="008238E6" w14:paraId="4FB5E872" w14:textId="77777777" w:rsidTr="3EF7B8AA">
        <w:tc>
          <w:tcPr>
            <w:tcW w:w="4551" w:type="dxa"/>
            <w:vAlign w:val="center"/>
          </w:tcPr>
          <w:p w14:paraId="4FB5E86F" w14:textId="77777777" w:rsidR="008238E6" w:rsidRDefault="00D61AB3">
            <w:pPr>
              <w:spacing w:before="120" w:after="120"/>
            </w:pPr>
            <w:r>
              <w:t>O diagnóstico precoce de diabetes tipo MODY proporciona aos pacientes um melhor direcionamento ao tratamento, um melhor controle glicêmico e risco reduzido de hipoglicemia. Pode permitir a interrupção de tratamento medicamentoso, caso MODY-GCK, e interrupção da insulina com melhor controle glicêmico, caso MODY-HNF1A. A longo prazo, isso pode melhorar os desfechos relacionados a diabetes e prevenção das comorbidades relacionadas.</w:t>
            </w:r>
          </w:p>
        </w:tc>
        <w:tc>
          <w:tcPr>
            <w:tcW w:w="4551" w:type="dxa"/>
            <w:vAlign w:val="center"/>
          </w:tcPr>
          <w:p w14:paraId="4FB5E870" w14:textId="77777777" w:rsidR="008238E6" w:rsidRDefault="00D61AB3">
            <w:pPr>
              <w:spacing w:before="120" w:after="120"/>
            </w:pPr>
            <w:r>
              <w:t>O PROPONENTE não forneceu uma sumarização dos principais achados, incluindo a força da evidência para os desfechos analisados em sua discussão e conclusão. Sua avaliação abrangeu relatos de caso, cinco coortes, uma revisão da literatura e um ensaio clínico randomizado; no entanto, a maioria desses estudos não atendeu aos critérios estabelecidos na própria estrutura PICOS do PROPONENTE, nem na PICOS proposta pelos PARECERISTAS. Além disso, não foram discutidas as limitações da análise, nem as vantagens e desvantagens da incorporação da tecnologia na saúde suplementar. A conclusão apresentada pelo PROPONENTE não está alinhada com a pergunta formulada e com a estrutura PICOS, e não reflete adequadamente a análise dos desfechos, que incluem a eficácia da metformina e da gliclazida no GRADE.</w:t>
            </w:r>
          </w:p>
          <w:p w14:paraId="4FB5E871" w14:textId="202B80B3" w:rsidR="008238E6" w:rsidRDefault="00D61AB3">
            <w:pPr>
              <w:spacing w:before="120" w:after="120"/>
            </w:pPr>
            <w:r>
              <w:t>A evidência disponível sobre a eficácia e segurança do teste genético para diagnóstico do diabetes tipo MODY é limitada, baseada apenas</w:t>
            </w:r>
            <w:r w:rsidR="002D36D3">
              <w:t xml:space="preserve"> em</w:t>
            </w:r>
            <w:r>
              <w:t xml:space="preserve"> duas coortes com certeza </w:t>
            </w:r>
            <w:r w:rsidR="004E1E91">
              <w:t xml:space="preserve">da evidência </w:t>
            </w:r>
            <w:r>
              <w:t>baixa quanto à mudança na farmacoterapia. As principais limitações da análise incluem o número reduzido de estudos e a falta de dados sobre eventos adversos, controle glicêmico e complicações crônicas. Os estudos focaram apenas em pacientes já diagnosticados, dificultando a avaliação do impacto do teste antes de um diagnóstico padrão. Assim, há necessidade de mais pesquisas para entender melhor o papel dos testes genéticos no manejo do MODY.</w:t>
            </w:r>
          </w:p>
        </w:tc>
      </w:tr>
    </w:tbl>
    <w:p w14:paraId="4FB5E873" w14:textId="77777777" w:rsidR="008238E6" w:rsidRDefault="00D61AB3">
      <w:pPr>
        <w:pStyle w:val="Heading1"/>
      </w:pPr>
      <w:bookmarkStart w:id="3" w:name="_heading=h.2jxsxqh" w:colFirst="0" w:colLast="0"/>
      <w:bookmarkEnd w:id="3"/>
      <w:r>
        <w:t>3. CONDIÇÃO CLÍNICA</w:t>
      </w:r>
    </w:p>
    <w:p w14:paraId="4FB5E874" w14:textId="77777777" w:rsidR="008238E6" w:rsidRDefault="00D61AB3">
      <w:pPr>
        <w:ind w:firstLine="720"/>
      </w:pPr>
      <w:bookmarkStart w:id="4" w:name="_heading=h.z337ya" w:colFirst="0" w:colLast="0"/>
      <w:bookmarkEnd w:id="4"/>
      <w:r>
        <w:t>O diabetes tipo MODY (</w:t>
      </w:r>
      <w:r w:rsidRPr="008D3D06">
        <w:rPr>
          <w:i/>
          <w:iCs/>
        </w:rPr>
        <w:t>Maturity Onset Diabetes of the Young</w:t>
      </w:r>
      <w:r>
        <w:t>) é uma forma de diabetes monogênica que se caracteriza por um conjunto de características clínicas específicas (5,6).</w:t>
      </w:r>
    </w:p>
    <w:p w14:paraId="4FB5E875" w14:textId="77777777" w:rsidR="008238E6" w:rsidRDefault="00D61AB3">
      <w:pPr>
        <w:ind w:firstLine="720"/>
      </w:pPr>
      <w:bookmarkStart w:id="5" w:name="_heading=h.3j2qqm3" w:colFirst="0" w:colLast="0"/>
      <w:bookmarkEnd w:id="5"/>
      <w:r>
        <w:t>Uma das principais características do MODY é o início precoce da doença, que geralmente se manifesta em jovens adultos, frequentemente antes dos 25 anos. Em algumas situações, o diagnóstico pode ocorrer ainda na infância ou adolescência (5). Adicionalmente, o MODY apresenta um padrão de herança autossômica dominante, o que significa que uma única cópia do gene mutado é suficiente para causar a condição. Essa hereditariedade é evidenciada por uma forte história familiar, com pelo menos duas gerações afetadas. A condição possui alta penetrância genética, com aproximadamente 95% dos indivíduos afetados desenvolvendo diabetes ou alterações glicêmicas até os 55 anos (5).</w:t>
      </w:r>
    </w:p>
    <w:p w14:paraId="4FB5E876" w14:textId="77777777" w:rsidR="008238E6" w:rsidRDefault="00D61AB3">
      <w:pPr>
        <w:ind w:firstLine="720"/>
      </w:pPr>
      <w:bookmarkStart w:id="6" w:name="_heading=h.1y810tw" w:colFirst="0" w:colLast="0"/>
      <w:bookmarkEnd w:id="6"/>
      <w:r>
        <w:t>Do ponto de vista fisiopatológico, o diabetes tipo MODY resulta de mutações genéticas específicas que comprometem a função das células beta pancreáticas. Diferentemente do diabetes tipo 1, não há destruição autoimune das células beta. Além disso, ao contrário do diabetes tipo 2, a resistência à insulina não é uma característica predominante. Essas distinções são fundamentais para a compreensão e o manejo adequado do diabetes tipo MODY (6).</w:t>
      </w:r>
    </w:p>
    <w:p w14:paraId="4FB5E877" w14:textId="77777777" w:rsidR="008238E6" w:rsidRDefault="00D61AB3">
      <w:pPr>
        <w:pStyle w:val="Heading2"/>
      </w:pPr>
      <w:bookmarkStart w:id="7" w:name="_heading=h.2xcytpi" w:colFirst="0" w:colLast="0"/>
      <w:bookmarkEnd w:id="7"/>
      <w:r>
        <w:t>3.1. Aspectos clínicos e epidemiológicos</w:t>
      </w:r>
    </w:p>
    <w:p w14:paraId="4FB5E878" w14:textId="77777777" w:rsidR="008238E6" w:rsidRDefault="00D61AB3">
      <w:pPr>
        <w:ind w:firstLine="720"/>
      </w:pPr>
      <w:r>
        <w:t>Os sintomas clínicos do diabetes tipo MODY (</w:t>
      </w:r>
      <w:r w:rsidRPr="00C1748A">
        <w:rPr>
          <w:i/>
          <w:iCs/>
        </w:rPr>
        <w:t>Maturity Onset Diabetes of the Young</w:t>
      </w:r>
      <w:r>
        <w:t>) geralmente são leves ou podem estar ausentes no início da doença. Os pacientes frequentemente apresentam poliúria, que se refere à produção excessiva de urina, polidipsia, caracterizada por sede excessiva, e fadiga. Em alguns casos, a perda de peso também pode ser observada. A hiperglicemia é uma característica comum, variando de leve a moderada, dependendo do subtipo de MODY (5,7).</w:t>
      </w:r>
    </w:p>
    <w:p w14:paraId="4FB5E879" w14:textId="77777777" w:rsidR="008238E6" w:rsidRDefault="00D61AB3">
      <w:pPr>
        <w:ind w:firstLine="720"/>
      </w:pPr>
      <w:r>
        <w:t>O controle glicêmico no diabetes tipo MODY tende a ser mais fácil de manter em comparação ao diabetes tipo 1. Muitos pacientes conseguem gerir os níveis de glicose no sangue por meio de intervenções dietéticas durante vários anos após o diagnóstico (6,7).</w:t>
      </w:r>
    </w:p>
    <w:p w14:paraId="4FB5E87A" w14:textId="77777777" w:rsidR="008238E6" w:rsidRDefault="00D61AB3">
      <w:pPr>
        <w:ind w:firstLine="720"/>
      </w:pPr>
      <w:r>
        <w:t>As complicações associadas ao diabetes tipo MODY incluem complicações microvasculares, como retinopatia e nefropatia diabéticas, que são semelhantes às observadas em outros tipos de diabetes. No entanto, as complicações macrovasculares, como doenças cardiovasculares, ocorrem com menor frequência em comparação ao diabetes tipo 2 (7).</w:t>
      </w:r>
    </w:p>
    <w:p w14:paraId="4FB5E87B" w14:textId="77777777" w:rsidR="008238E6" w:rsidRDefault="00D61AB3">
      <w:pPr>
        <w:ind w:firstLine="720"/>
      </w:pPr>
      <w:r>
        <w:t>Existem diversos subtipos de MODY, cada um com características clínicas específicas. O MODY 2 (GCK-MODY) é caracterizado por hiperglicemia leve e estável desde o nascimento, sem complicações significativas. O MODY 3 (HNF1A-MODY) é o subtipo mais comum e pode levar a uma progressão mais rápida da doença, com eventual necessidade de insulina. Os subtipos MODY 1, 4, 5 e 6 apresentam características clínicas e genéticas distintas, incluindo diferentes graus de hiperglicemia e respostas ao tratamento (7).</w:t>
      </w:r>
    </w:p>
    <w:p w14:paraId="4FB5E87C" w14:textId="77777777" w:rsidR="008238E6" w:rsidRDefault="00D61AB3">
      <w:pPr>
        <w:ind w:firstLine="720"/>
      </w:pPr>
      <w:r>
        <w:t>Em termos de prevalência, estima-se que aproximadamente 5% das pessoas diagnosticadas com diabetes mellitus tipo 2 e 10% das classificadas como tipo 1 (anteriormente conhecido como diabetes juvenil) possuam, na verdade, mutações associadas ao MODY (7). O tipo MODY-1 representa entre 2% e 10% do total de casos de MODY, sendo consideravelmente menos frequente que o diabetes tipo 2. O MODY-2 corresponde entre 20% e 63% dos casos de MODY, enquanto o MODY-3 representa entre 21% e 72%. Outros subtipos são menos comuns e afetam um número reduzido de famílias. No Brasil, os subtipos mais comuns de DM monogênico são o MODY-GCK (MODY 2) e MODY-HNF1A (MODY 3).(5)</w:t>
      </w:r>
    </w:p>
    <w:p w14:paraId="4FB5E87D" w14:textId="77777777" w:rsidR="008238E6" w:rsidRDefault="00D61AB3">
      <w:pPr>
        <w:jc w:val="center"/>
      </w:pPr>
      <w:r>
        <w:rPr>
          <w:b/>
        </w:rPr>
        <w:t>Tabela 1.</w:t>
      </w:r>
      <w:r>
        <w:t xml:space="preserve"> Genes associados a MODY, frequência e características fenotípicas associadas (5).</w:t>
      </w:r>
    </w:p>
    <w:p w14:paraId="4FB5E87E" w14:textId="77777777" w:rsidR="008238E6" w:rsidRDefault="00D61AB3">
      <w:pPr>
        <w:ind w:left="-566" w:right="-294"/>
        <w:jc w:val="center"/>
      </w:pPr>
      <w:r>
        <w:rPr>
          <w:noProof/>
        </w:rPr>
        <w:drawing>
          <wp:inline distT="114300" distB="114300" distL="114300" distR="114300" wp14:anchorId="4FB5F345" wp14:editId="4FB5F346">
            <wp:extent cx="6170128" cy="2376264"/>
            <wp:effectExtent l="0" t="0" r="0" b="0"/>
            <wp:docPr id="5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t="2926"/>
                    <a:stretch>
                      <a:fillRect/>
                    </a:stretch>
                  </pic:blipFill>
                  <pic:spPr>
                    <a:xfrm>
                      <a:off x="0" y="0"/>
                      <a:ext cx="6170128" cy="2376264"/>
                    </a:xfrm>
                    <a:prstGeom prst="rect">
                      <a:avLst/>
                    </a:prstGeom>
                    <a:ln/>
                  </pic:spPr>
                </pic:pic>
              </a:graphicData>
            </a:graphic>
          </wp:inline>
        </w:drawing>
      </w:r>
    </w:p>
    <w:p w14:paraId="4FB5E87F" w14:textId="77777777" w:rsidR="008238E6" w:rsidRDefault="00D61AB3">
      <w:pPr>
        <w:ind w:left="-566" w:right="-294"/>
        <w:jc w:val="center"/>
      </w:pPr>
      <w:r>
        <w:rPr>
          <w:noProof/>
        </w:rPr>
        <w:drawing>
          <wp:inline distT="114300" distB="114300" distL="114300" distR="114300" wp14:anchorId="4FB5F347" wp14:editId="4FB5F348">
            <wp:extent cx="5759140" cy="4279900"/>
            <wp:effectExtent l="0" t="0" r="0" b="0"/>
            <wp:docPr id="5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5759140" cy="4279900"/>
                    </a:xfrm>
                    <a:prstGeom prst="rect">
                      <a:avLst/>
                    </a:prstGeom>
                    <a:ln/>
                  </pic:spPr>
                </pic:pic>
              </a:graphicData>
            </a:graphic>
          </wp:inline>
        </w:drawing>
      </w:r>
    </w:p>
    <w:p w14:paraId="4FB5E880" w14:textId="77777777" w:rsidR="008238E6" w:rsidRDefault="00D61AB3">
      <w:pPr>
        <w:ind w:firstLine="720"/>
      </w:pPr>
      <w:r>
        <w:t>Portanto, o diabetes tipo MODY é uma condição relativamente rara em comparação ao diabetes tipo 1 ou 2, apresentando um impacto menor na saúde pública devido à sua menor prevalência. A ausência de um diagnóstico correto pode afetar a qualidade de vida do paciente, especialmente quando ocorre o uso inadequado de insulina devido à confusão com o diagnóstico de diabetes tipo 1.</w:t>
      </w:r>
    </w:p>
    <w:p w14:paraId="05B21598" w14:textId="77777777" w:rsidR="00AD70EC" w:rsidRDefault="00AD70EC" w:rsidP="00DD5FC5">
      <w:pPr>
        <w:spacing w:after="120"/>
      </w:pPr>
    </w:p>
    <w:p w14:paraId="4FB5E882" w14:textId="77777777" w:rsidR="008238E6" w:rsidRDefault="00D61AB3">
      <w:pPr>
        <w:pStyle w:val="Heading2"/>
      </w:pPr>
      <w:bookmarkStart w:id="8" w:name="_heading=h.1ci93xb" w:colFirst="0" w:colLast="0"/>
      <w:bookmarkEnd w:id="8"/>
      <w:r>
        <w:t>3.2. Tratamento recomendado</w:t>
      </w:r>
    </w:p>
    <w:p w14:paraId="4FB5E883" w14:textId="77777777" w:rsidR="008238E6" w:rsidRDefault="00D61AB3">
      <w:pPr>
        <w:spacing w:after="120"/>
        <w:ind w:firstLine="720"/>
      </w:pPr>
      <w:r>
        <w:t>O diabetes tipo MODY possui características únicas que exigem uma abordagem diagnóstica e terapêutica específica. A confirmação do diagnóstico muitas vezes requer a realização de testes genéticos, que são importantes para a identificação do subtipo específico de MODY. Essa identificação permite a implementação de um tratamento mais direcionado, contribuindo para a melhoria da qualidade de vida do paciente. Além disso, um diagnóstico preciso pode prevenir a utilização inadequada de terapias, como a insulina, que pode ser desnecessária em muitos casos de MODY (7).</w:t>
      </w:r>
    </w:p>
    <w:p w14:paraId="754003E6" w14:textId="77777777" w:rsidR="00DD5FC5" w:rsidRDefault="00DD5FC5">
      <w:pPr>
        <w:spacing w:after="120"/>
        <w:ind w:firstLine="720"/>
        <w:rPr>
          <w:b/>
          <w:u w:val="single"/>
        </w:rPr>
      </w:pPr>
    </w:p>
    <w:p w14:paraId="4FB5E884" w14:textId="77777777" w:rsidR="008238E6" w:rsidRDefault="00D61AB3">
      <w:pPr>
        <w:spacing w:after="120"/>
        <w:ind w:firstLine="720"/>
        <w:rPr>
          <w:b/>
          <w:u w:val="single"/>
        </w:rPr>
      </w:pPr>
      <w:r>
        <w:rPr>
          <w:b/>
          <w:u w:val="single"/>
        </w:rPr>
        <w:t>Diagnóstico</w:t>
      </w:r>
    </w:p>
    <w:p w14:paraId="4FB5E885" w14:textId="77777777" w:rsidR="008238E6" w:rsidRDefault="00D61AB3">
      <w:pPr>
        <w:spacing w:after="120"/>
        <w:ind w:firstLine="720"/>
      </w:pPr>
      <w:r>
        <w:t xml:space="preserve">A maioria dos critérios clínicos para definir o MODY utilizou pontos de corte absolutos (como não ser obeso ou ter idade no diagnóstico inferior a 25 anos), em vez de calcular uma probabilidade com base em características contínuas e quantitativas, como IMC ou idade no diagnóstico. Esses critérios baseados em limites absolutos apresentaram baixa sensibilidade, identificando apenas cerca de metade dos pacientes com MODY (17-19). </w:t>
      </w:r>
    </w:p>
    <w:p w14:paraId="4FB5E886" w14:textId="0B700C45" w:rsidR="008238E6" w:rsidRDefault="00D61AB3">
      <w:pPr>
        <w:spacing w:before="120" w:after="120"/>
        <w:ind w:right="45" w:firstLine="720"/>
      </w:pPr>
      <w:r>
        <w:t xml:space="preserve">Atualmente a identificação de pacientes tipo MODY se dá através de suspeição clínica associada </w:t>
      </w:r>
      <w:r w:rsidR="00AD70EC">
        <w:t>à</w:t>
      </w:r>
      <w:r>
        <w:t xml:space="preserve"> estimativa de probabilidade, conforme ponto de corte (</w:t>
      </w:r>
      <w:r w:rsidRPr="0075387A">
        <w:rPr>
          <w:i/>
          <w:iCs/>
        </w:rPr>
        <w:t>cut-off</w:t>
      </w:r>
      <w:r>
        <w:t>) na calculadora de MODY, somadas à combinação de dados clínico-laboratoriais.</w:t>
      </w:r>
    </w:p>
    <w:p w14:paraId="4FB5E887" w14:textId="35332962" w:rsidR="008238E6" w:rsidRDefault="00D61AB3">
      <w:pPr>
        <w:spacing w:before="120" w:after="120"/>
        <w:ind w:right="45" w:firstLine="720"/>
      </w:pPr>
      <w:r>
        <w:t>Conforme a Diretriz da Sociedade Brasileira de Diabetes</w:t>
      </w:r>
      <w:r>
        <w:rPr>
          <w:vertAlign w:val="superscript"/>
        </w:rPr>
        <w:t>6</w:t>
      </w:r>
      <w:r>
        <w:t xml:space="preserve">, testes genéticos são úteis para classificação adequada de DM, já que a identificação de diabetes monogênico pode resultar em mudanças no tratamento proposto.  </w:t>
      </w:r>
      <w:r>
        <w:rPr>
          <w:color w:val="1E1E1E"/>
        </w:rPr>
        <w:t>Assim, de acordo com essa diretriz, é recomendado suspeitar de diabetes monogênico em pacientes com hiperglicemia de início antes dos 25 anos de idade, com diabetes surgindo na família antes dos 25 anos em duas ou três gerações. Os autoanticorpos devem ser negativos e o peptídeo C &gt; 0,6 ng/mL, após 5 anos do diagnóstico de DM.</w:t>
      </w:r>
      <w:r>
        <w:t xml:space="preserve"> </w:t>
      </w:r>
    </w:p>
    <w:p w14:paraId="4FB5E888" w14:textId="2B9C2B84" w:rsidR="008238E6" w:rsidRDefault="00D61AB3">
      <w:pPr>
        <w:spacing w:before="120" w:after="120"/>
        <w:ind w:left="132" w:right="45" w:firstLine="588"/>
      </w:pPr>
      <w:r>
        <w:t xml:space="preserve">Caso o paciente venha se tratando com insulina, ele deve realizar o teste do peptídeo C (utilizado para avaliar a capacidade secretória do pâncreas) e de anticorpos anti-ilhotas (para detectar anticorpos que atuam contra as células beta das ilhotas de </w:t>
      </w:r>
      <w:r w:rsidRPr="00AD70EC">
        <w:rPr>
          <w:i/>
          <w:iCs/>
        </w:rPr>
        <w:t>Langerhans</w:t>
      </w:r>
      <w:r>
        <w:t xml:space="preserve">), ambos disponíveis no rol da ANS. Dependendo do resultado desses exames, pode ser excluída a necessidade do paciente testar geneticamente para MODY. Pacientes com </w:t>
      </w:r>
      <w:r>
        <w:rPr>
          <w:color w:val="1E1E1E"/>
        </w:rPr>
        <w:t>DM1 apresentam perda da capacidade de secreção de insulina, e pacientes com DM2 e diabetes tipo MODY apresentam maior capacidade secretória. Um exame positivo para autoanticorpos praticamente exclui o diagnóstico de MODy em pacientes com menos de 30 anos.</w:t>
      </w:r>
    </w:p>
    <w:p w14:paraId="4FB5E889" w14:textId="77777777" w:rsidR="008238E6" w:rsidRDefault="00D61AB3">
      <w:pPr>
        <w:spacing w:after="120"/>
        <w:ind w:firstLine="720"/>
      </w:pPr>
      <w:r>
        <w:t xml:space="preserve">Em 2012, Shields e colaboradores desenvolveram um modelo de predição da probabilidade de diabetes tipo MODY, conhecido como </w:t>
      </w:r>
      <w:r>
        <w:rPr>
          <w:i/>
        </w:rPr>
        <w:t>MODY</w:t>
      </w:r>
      <w:r>
        <w:t xml:space="preserve"> </w:t>
      </w:r>
      <w:r>
        <w:rPr>
          <w:i/>
        </w:rPr>
        <w:t xml:space="preserve">Probability Calculator, </w:t>
      </w:r>
      <w:r>
        <w:t>é uma ferramenta desenvolvida para ajudar na identificação de indivíduos que podem ter diabetes tipo MODY</w:t>
      </w:r>
      <w:r>
        <w:rPr>
          <w:i/>
        </w:rPr>
        <w:t>.</w:t>
      </w:r>
      <w:r>
        <w:t xml:space="preserve"> Este modelo utiliza um conjunto de atributos clínicos discriminativos, como idade de início, histórico familiar, índice de massa corporal (IMC), tratamento em curso e níveis de hemoglobina A1c, para calcular a probabilidade de um paciente ser portador de uma variante patogênica associada ao MODY (16). O ponto de corte observado para a probabilidade discriminatória entre diabetes tipo 1, diabetes tipo 2 e MODY, com sensibilidade igual ou superior a 80% e especificidade igual ou superior a 90%, foi estabelecido em 50% (5).</w:t>
      </w:r>
    </w:p>
    <w:p w14:paraId="4FB5E88A" w14:textId="17E7DD02" w:rsidR="008238E6" w:rsidRDefault="00D61AB3">
      <w:pPr>
        <w:spacing w:after="120"/>
        <w:ind w:firstLine="720"/>
      </w:pPr>
      <w:r>
        <w:t>Esse modelo de predição foi validado apenas em indivíduos caucasianos de origem europeia. Em 2019, estudo preliminar foi realizado por Tarantino et al., 2020 sugeriram que, na população brasileira, pontos de corte iguais ou superiores a 60% seriam mais apropriados para indicar a realização do teste genético para MODY (5). Os autores consideram, entretanto, que mais pesquisas são necessárias para determinar o ponto de corte ideal em populações não caucasianas, garantindo assim uma abordagem diagnóstica mais precisa e eficaz para o diabetes tipo MODY em diferentes grupos étnicos (5).</w:t>
      </w:r>
    </w:p>
    <w:p w14:paraId="4FB5E88B" w14:textId="552CEA2A" w:rsidR="008238E6" w:rsidRDefault="00D61AB3">
      <w:pPr>
        <w:spacing w:before="120" w:after="120"/>
        <w:ind w:left="132" w:right="45" w:firstLine="588"/>
      </w:pPr>
      <w:r>
        <w:t xml:space="preserve">A diretriz da </w:t>
      </w:r>
      <w:r w:rsidR="005E0A6B">
        <w:t>S</w:t>
      </w:r>
      <w:r>
        <w:t xml:space="preserve">ociedade </w:t>
      </w:r>
      <w:r w:rsidR="005E0A6B">
        <w:t>B</w:t>
      </w:r>
      <w:r>
        <w:t xml:space="preserve">rasileira de </w:t>
      </w:r>
      <w:r w:rsidR="005E0A6B">
        <w:t>D</w:t>
      </w:r>
      <w:r>
        <w:t xml:space="preserve">iabetes recomenda que </w:t>
      </w:r>
      <w:r w:rsidR="0020473C">
        <w:t>pacientes com</w:t>
      </w:r>
      <w:r w:rsidRPr="1187E3E5">
        <w:rPr>
          <w:color w:val="1E1E1E"/>
        </w:rPr>
        <w:t xml:space="preserve"> valor preditivo positivo &gt; 60% pela calculadora de risco de MODY sejam submetidos a testes genéticos, sendo recomendado na diretriz o uso de painel genético.</w:t>
      </w:r>
      <w:r>
        <w:t xml:space="preserve">  </w:t>
      </w:r>
      <w:r w:rsidRPr="1187E3E5">
        <w:rPr>
          <w:color w:val="1E1E1E"/>
        </w:rPr>
        <w:t xml:space="preserve">A calculadora está disponível no site abaixo e em plataformas mobile iOS e Android como o aplicativo Diabetes Diagnostics. </w:t>
      </w:r>
      <w:hyperlink r:id="rId17">
        <w:r w:rsidR="008238E6" w:rsidRPr="1187E3E5">
          <w:rPr>
            <w:color w:val="5986A4"/>
            <w:u w:val="single"/>
          </w:rPr>
          <w:t>https://www.diabetesgenes.org/exeter-diabetes-app/ModyCalculator</w:t>
        </w:r>
      </w:hyperlink>
      <w:r>
        <w:t xml:space="preserve">. </w:t>
      </w:r>
    </w:p>
    <w:p w14:paraId="4FB5E88C" w14:textId="77777777" w:rsidR="008238E6" w:rsidRDefault="008238E6">
      <w:pPr>
        <w:spacing w:before="120" w:after="120" w:line="240" w:lineRule="auto"/>
        <w:ind w:left="132" w:right="45" w:firstLine="5"/>
      </w:pPr>
    </w:p>
    <w:p w14:paraId="4FB5E88D" w14:textId="77777777" w:rsidR="008238E6" w:rsidRDefault="008238E6">
      <w:pPr>
        <w:spacing w:after="120"/>
        <w:ind w:firstLine="720"/>
      </w:pPr>
    </w:p>
    <w:p w14:paraId="4FB5E88E" w14:textId="77777777" w:rsidR="008238E6" w:rsidRDefault="008238E6">
      <w:pPr>
        <w:spacing w:after="120"/>
        <w:rPr>
          <w:u w:val="single"/>
        </w:rPr>
      </w:pPr>
    </w:p>
    <w:p w14:paraId="4FB5E88F" w14:textId="77777777" w:rsidR="008238E6" w:rsidRDefault="008238E6">
      <w:pPr>
        <w:spacing w:after="120"/>
        <w:rPr>
          <w:u w:val="single"/>
        </w:rPr>
      </w:pPr>
    </w:p>
    <w:p w14:paraId="4FB5E890" w14:textId="77777777" w:rsidR="008238E6" w:rsidRDefault="008238E6">
      <w:pPr>
        <w:spacing w:after="120"/>
        <w:rPr>
          <w:u w:val="single"/>
        </w:rPr>
      </w:pPr>
    </w:p>
    <w:p w14:paraId="4FB5E891" w14:textId="77777777" w:rsidR="008238E6" w:rsidRDefault="008238E6">
      <w:pPr>
        <w:spacing w:after="120"/>
        <w:rPr>
          <w:u w:val="single"/>
        </w:rPr>
      </w:pPr>
    </w:p>
    <w:p w14:paraId="4FB5E892" w14:textId="77777777" w:rsidR="008238E6" w:rsidRDefault="008238E6">
      <w:pPr>
        <w:spacing w:after="120"/>
        <w:rPr>
          <w:u w:val="single"/>
        </w:rPr>
      </w:pPr>
    </w:p>
    <w:p w14:paraId="4FB5E893" w14:textId="77777777" w:rsidR="008238E6" w:rsidRDefault="008238E6">
      <w:pPr>
        <w:spacing w:after="120"/>
        <w:rPr>
          <w:u w:val="single"/>
        </w:rPr>
      </w:pPr>
    </w:p>
    <w:p w14:paraId="4FB5E894" w14:textId="77777777" w:rsidR="008238E6" w:rsidRDefault="008238E6">
      <w:pPr>
        <w:spacing w:after="120"/>
        <w:rPr>
          <w:u w:val="single"/>
        </w:rPr>
      </w:pPr>
    </w:p>
    <w:p w14:paraId="4FB5E895" w14:textId="77777777" w:rsidR="008238E6" w:rsidRDefault="008238E6">
      <w:pPr>
        <w:spacing w:after="120"/>
        <w:rPr>
          <w:u w:val="single"/>
        </w:rPr>
      </w:pPr>
    </w:p>
    <w:p w14:paraId="4FB5E896" w14:textId="77777777" w:rsidR="008238E6" w:rsidRDefault="008238E6">
      <w:pPr>
        <w:spacing w:after="120"/>
        <w:rPr>
          <w:u w:val="single"/>
        </w:rPr>
      </w:pPr>
    </w:p>
    <w:p w14:paraId="4FB5E897" w14:textId="77777777" w:rsidR="008238E6" w:rsidRDefault="008238E6">
      <w:pPr>
        <w:spacing w:after="120"/>
        <w:rPr>
          <w:u w:val="single"/>
        </w:rPr>
      </w:pPr>
    </w:p>
    <w:p w14:paraId="4FB5E898" w14:textId="77777777" w:rsidR="008238E6" w:rsidRDefault="00D61AB3">
      <w:pPr>
        <w:spacing w:after="120"/>
        <w:rPr>
          <w:b/>
        </w:rPr>
      </w:pPr>
      <w:r>
        <w:rPr>
          <w:u w:val="single"/>
        </w:rPr>
        <w:t>Fluxograma apresentado pelo PROPONENTE para o manejo dos pacientes com suspeita de diabetes tipo MODY:</w:t>
      </w:r>
    </w:p>
    <w:p w14:paraId="4FB5E899" w14:textId="77777777" w:rsidR="008238E6" w:rsidRDefault="00D61AB3">
      <w:pPr>
        <w:pStyle w:val="Heading3"/>
        <w:spacing w:after="120"/>
        <w:jc w:val="center"/>
      </w:pPr>
      <w:bookmarkStart w:id="9" w:name="_heading=h.2vaupbki62cs" w:colFirst="0" w:colLast="0"/>
      <w:bookmarkEnd w:id="9"/>
      <w:r>
        <w:rPr>
          <w:b/>
        </w:rPr>
        <w:t xml:space="preserve">Figura 1. </w:t>
      </w:r>
      <w:r>
        <w:t>Fluxograma proposto pelo PROPONENTE.</w:t>
      </w:r>
    </w:p>
    <w:p w14:paraId="4FB5E89A" w14:textId="77777777" w:rsidR="008238E6" w:rsidRDefault="00D61AB3">
      <w:pPr>
        <w:spacing w:after="120"/>
      </w:pPr>
      <w:r>
        <w:rPr>
          <w:noProof/>
        </w:rPr>
        <w:drawing>
          <wp:inline distT="114300" distB="114300" distL="114300" distR="114300" wp14:anchorId="4FB5F349" wp14:editId="4FB5F34A">
            <wp:extent cx="5710555" cy="3228975"/>
            <wp:effectExtent l="0" t="0" r="0" b="0"/>
            <wp:docPr id="6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8"/>
                    <a:srcRect l="903"/>
                    <a:stretch>
                      <a:fillRect/>
                    </a:stretch>
                  </pic:blipFill>
                  <pic:spPr>
                    <a:xfrm>
                      <a:off x="0" y="0"/>
                      <a:ext cx="5710555" cy="3228975"/>
                    </a:xfrm>
                    <a:prstGeom prst="rect">
                      <a:avLst/>
                    </a:prstGeom>
                    <a:ln/>
                  </pic:spPr>
                </pic:pic>
              </a:graphicData>
            </a:graphic>
          </wp:inline>
        </w:drawing>
      </w:r>
    </w:p>
    <w:p w14:paraId="4FB5E89B" w14:textId="77777777" w:rsidR="008238E6" w:rsidRDefault="00D61AB3">
      <w:pPr>
        <w:spacing w:after="120"/>
        <w:ind w:firstLine="720"/>
      </w:pPr>
      <w:r>
        <w:t>O fluxograma apresentado ilustra a linha de cuidado para pacientes com diabetes, focando especialmente no diagnóstico e tratamento do diabetes tipo MODY, além dos tipos I e II. O processo inicia-se com a avaliação de pacientes com menos de 30 anos que apresentam suspeita de diabetes, para os quais é realizado um exame diagnóstico.</w:t>
      </w:r>
    </w:p>
    <w:p w14:paraId="4FB5E89C" w14:textId="77777777" w:rsidR="008238E6" w:rsidRDefault="00D61AB3">
      <w:pPr>
        <w:spacing w:after="120"/>
        <w:ind w:firstLine="720"/>
      </w:pPr>
      <w:r>
        <w:t>Com base nos resultados desse exame, o primeiro passo é a confirmação ou negação do diagnóstico de diabetes. Caso o diagnóstico seja confirmado, o próximo passo envolve a determinação do tipo de diabetes. Para o diabetes tipo I, o tratamento indicado é a insulina, enquanto para o diabetes tipo II, a metformina é o medicamento de escolha.</w:t>
      </w:r>
    </w:p>
    <w:p w14:paraId="4FB5E89D" w14:textId="77777777" w:rsidR="008238E6" w:rsidRDefault="00D61AB3">
      <w:pPr>
        <w:ind w:firstLine="720"/>
      </w:pPr>
      <w:r>
        <w:t>O tratamento do diabetes tipo MODY é dependente do subtipo específico diagnosticado, uma vez que cada um apresenta características e necessidades terapêuticas distintas. No caso do MODY-1, MODY-3 e MODY-4, os pacientes geralmente requerem a utilização de insulina ou sulfonilureias para o controle glicêmico adequado. Esses medicamentos ajudam a regular os níveis de glicose no sangue, permitindo uma gestão eficaz da condição (5). Por outro lado, o MODY-2, que é causado por mutações no gene GCK, frequentemente pode ser gerenciado apenas com intervenções dietéticas, uma vez que a hiperglicemia tende a ser leve e estável ao longo do tempo. Isso permite que muitos pacientes mantenham um bom controle glicêmico sem a necessidade de medicação (5).</w:t>
      </w:r>
    </w:p>
    <w:p w14:paraId="4FB5E89E" w14:textId="77777777" w:rsidR="008238E6" w:rsidRDefault="00D61AB3">
      <w:pPr>
        <w:ind w:firstLine="720"/>
      </w:pPr>
      <w:r>
        <w:t>Em relação ao MODY-5, que está associado a mutações no gene HNF1B, os pacientes podem necessitar de tratamento específico para hipoglicemia neonatal, uma condição que pode ocorrer devido à disfunção endócrina. Portanto, é fundamental que o manejo do diabetes tipo MODY seja individualizado, levando em consideração não apenas o subtipo, mas também as características clínicas e as necessidades específicas de cada paciente. Um diagnóstico preciso e um plano de tratamento adaptado são essenciais para otimizar o controle glicêmico e melhorar a qualidade de vida dos indivíduos afetados (5,7).</w:t>
      </w:r>
    </w:p>
    <w:p w14:paraId="4FB5E89F" w14:textId="77777777" w:rsidR="008238E6" w:rsidRDefault="008238E6"/>
    <w:p w14:paraId="4FB5E8A0" w14:textId="77777777" w:rsidR="008238E6" w:rsidRDefault="008238E6"/>
    <w:p w14:paraId="4FB5E8A1" w14:textId="77777777" w:rsidR="008238E6" w:rsidRDefault="00D61AB3">
      <w:pPr>
        <w:spacing w:before="0" w:after="160" w:line="259" w:lineRule="auto"/>
        <w:jc w:val="left"/>
      </w:pPr>
      <w:r>
        <w:br w:type="page"/>
      </w:r>
    </w:p>
    <w:p w14:paraId="4FB5E8A2" w14:textId="77777777" w:rsidR="008238E6" w:rsidRDefault="00D61AB3">
      <w:pPr>
        <w:pStyle w:val="Heading1"/>
      </w:pPr>
      <w:bookmarkStart w:id="10" w:name="_heading=h.3whwml4" w:colFirst="0" w:colLast="0"/>
      <w:bookmarkEnd w:id="10"/>
      <w:r>
        <w:t>4. TECNOLOGIA</w:t>
      </w:r>
    </w:p>
    <w:p w14:paraId="4FB5E8A3" w14:textId="77777777" w:rsidR="008238E6" w:rsidRDefault="00D61AB3">
      <w:pPr>
        <w:pStyle w:val="Heading2"/>
      </w:pPr>
      <w:bookmarkStart w:id="11" w:name="_heading=h.2bn6wsx" w:colFirst="0" w:colLast="0"/>
      <w:bookmarkEnd w:id="11"/>
      <w:r>
        <w:t>4.1. Descrição</w:t>
      </w:r>
    </w:p>
    <w:p w14:paraId="4FB5E8A4" w14:textId="77777777" w:rsidR="008238E6" w:rsidRDefault="00D61AB3">
      <w:pPr>
        <w:ind w:firstLine="720"/>
      </w:pPr>
      <w:r>
        <w:t xml:space="preserve">O teste diagnóstico para diabetes do tipo MODY é realizado por meio de análise genética de amostras de sangue ou </w:t>
      </w:r>
      <w:r w:rsidRPr="00AD70EC">
        <w:rPr>
          <w:i/>
          <w:iCs/>
        </w:rPr>
        <w:t xml:space="preserve">swab </w:t>
      </w:r>
      <w:r>
        <w:t>de mucosa oral. As recomendações para realização do teste são permanecer por 30 minutos antes da coleta sem consumir bebidas, comidas, não fumar, não mascar chicletes, não escovar os dentes ou inserir qualquer objeto na boca. Atualmente o exame é realizado somente com solicitação médica.</w:t>
      </w:r>
    </w:p>
    <w:p w14:paraId="4FB5E8A5" w14:textId="2DD66B19" w:rsidR="008238E6" w:rsidRDefault="00D61AB3">
      <w:pPr>
        <w:ind w:firstLine="720"/>
      </w:pPr>
      <w:r>
        <w:t>Os principais tipos de técnicas utilizadas nos testes genético</w:t>
      </w:r>
      <w:r w:rsidR="00D3054C">
        <w:t>s</w:t>
      </w:r>
      <w:r>
        <w:t>:</w:t>
      </w:r>
    </w:p>
    <w:p w14:paraId="4FB5E8A6" w14:textId="77777777" w:rsidR="008238E6" w:rsidRDefault="00D61AB3">
      <w:pPr>
        <w:numPr>
          <w:ilvl w:val="0"/>
          <w:numId w:val="15"/>
        </w:numPr>
      </w:pPr>
      <w:r>
        <w:t>Sequenciamento de Próxima Geração (NGS)</w:t>
      </w:r>
    </w:p>
    <w:p w14:paraId="4FB5E8A7" w14:textId="77777777" w:rsidR="008238E6" w:rsidRDefault="00D61AB3">
      <w:pPr>
        <w:ind w:firstLine="720"/>
      </w:pPr>
      <w:r>
        <w:t>O NGS é utilizado para identificar mutações em genes associados ao MODY, como GCK, HNF1A, e HNF4A, e é considerado uma ferramenta para detectar novos genes mutados relacionados ao MODY.</w:t>
      </w:r>
    </w:p>
    <w:p w14:paraId="4FB5E8A8" w14:textId="77777777" w:rsidR="008238E6" w:rsidRDefault="00D61AB3">
      <w:pPr>
        <w:numPr>
          <w:ilvl w:val="0"/>
          <w:numId w:val="15"/>
        </w:numPr>
      </w:pPr>
      <w:r>
        <w:t>Sequenciamento de Exoma</w:t>
      </w:r>
    </w:p>
    <w:p w14:paraId="4FB5E8A9" w14:textId="77777777" w:rsidR="008238E6" w:rsidRDefault="00D61AB3">
      <w:pPr>
        <w:ind w:firstLine="720"/>
      </w:pPr>
      <w:r>
        <w:t>O sequenciamento de exoma é utilizado para fornecer um diagnóstico molecular do MODY em pacientes que tiveram resultados negativos em sequenciamentos convencionais de genes candidatos. Este método pode identificar variantes raras e patogênicas em genes relacionados ao metabolismo da glicose.</w:t>
      </w:r>
    </w:p>
    <w:p w14:paraId="4FB5E8AA" w14:textId="77777777" w:rsidR="008238E6" w:rsidRDefault="00D61AB3">
      <w:pPr>
        <w:numPr>
          <w:ilvl w:val="0"/>
          <w:numId w:val="15"/>
        </w:numPr>
      </w:pPr>
      <w:r>
        <w:t>Análise de Ligação e Polimorfismo de Comprimento de Fragmentos de Restrição (RFLP)</w:t>
      </w:r>
    </w:p>
    <w:p w14:paraId="4FB5E8AB" w14:textId="77777777" w:rsidR="008238E6" w:rsidRDefault="00D61AB3">
      <w:pPr>
        <w:ind w:firstLine="720"/>
      </w:pPr>
      <w:r>
        <w:t>Métodos tradicionais como análise de ligação e RFLP também são usados ​​para investigar mutações genéticas associadas ao MODY, embora sejam menos comuns com o advento de tecnologias mais avançadas.</w:t>
      </w:r>
    </w:p>
    <w:p w14:paraId="4FB5E8AC" w14:textId="77777777" w:rsidR="008238E6" w:rsidRDefault="00D61AB3">
      <w:pPr>
        <w:numPr>
          <w:ilvl w:val="0"/>
          <w:numId w:val="15"/>
        </w:numPr>
      </w:pPr>
      <w:r>
        <w:t>Sequenciamento de DNA (SANGER)</w:t>
      </w:r>
    </w:p>
    <w:p w14:paraId="4FB5E8AD" w14:textId="77777777" w:rsidR="008238E6" w:rsidRDefault="00D61AB3">
      <w:pPr>
        <w:ind w:firstLine="720"/>
      </w:pPr>
      <w:r>
        <w:t>O sequenciamento de DNA é uma técnica fundamental para a investigação precisa de mutações nos genes associados ao MODY, sendo essencial para a confirmação do diagnóstico e definição do subtipo de MODY.</w:t>
      </w:r>
    </w:p>
    <w:p w14:paraId="7C98AA11" w14:textId="77777777" w:rsidR="00AD70EC" w:rsidRDefault="00D61AB3">
      <w:pPr>
        <w:ind w:firstLine="720"/>
      </w:pPr>
      <w:r>
        <w:t>A técnica de sequenciamento de DNA (SANGER) é passível de cobertura na Saúde Suplementar (Anexo II da RN 465</w:t>
      </w:r>
      <w:r w:rsidR="00AD70EC">
        <w:t>/2021</w:t>
      </w:r>
      <w:r>
        <w:t xml:space="preserve">, item 110, 1, letra "b"). </w:t>
      </w:r>
    </w:p>
    <w:p w14:paraId="4FB5E8AE" w14:textId="65800DA7" w:rsidR="008238E6" w:rsidRDefault="00D61AB3">
      <w:pPr>
        <w:ind w:firstLine="720"/>
      </w:pPr>
      <w:r>
        <w:t>O sequenciamento de nova geração (NGS) oferece uma maior sensibilidade e capacidade de detecção de mutações raras (WFS1, KCNJ11, INS e HNF1B) e variações no número de cópias (deleção do exon 1 do gene GCK) em comparação com o sequenciamento de Sanger. Além disso, o NGS permite a análise simultânea de múltiplos genes em um único teste, aumentando a abrangência do diagnóstico, enquanto o sequenciamento de Sanger é limitado a um gene por vez (20-22).</w:t>
      </w:r>
    </w:p>
    <w:p w14:paraId="4FB5E8AF" w14:textId="316F6E58" w:rsidR="008238E6" w:rsidRDefault="00D61AB3">
      <w:pPr>
        <w:ind w:firstLine="720"/>
      </w:pPr>
      <w:r>
        <w:t>As técnicas de sequenciamento de DNA (SANGER) e sequenciamento de nova geração (NGS) não são intercambiáveis, visto que o NGS apresenta uma maior abrangência. Entretanto, o SANGER</w:t>
      </w:r>
      <w:r w:rsidR="00D3054C">
        <w:t xml:space="preserve"> </w:t>
      </w:r>
      <w:r>
        <w:t>tem a capacidade de detectar os principais genes envolvidos do diabetes monogênico, tais como MODY 1 (HNF4A), MODY 2 (GCK), MODY 3 (HNF1A), MODY 4 (PDX1) e MODY 5 (HNF1B). No Brasil as formas genéticas mais prevalentes são a MODY 1 e 2, cobertas pela técnica de SANGER.</w:t>
      </w:r>
    </w:p>
    <w:p w14:paraId="4FB5E8B0" w14:textId="77777777" w:rsidR="008238E6" w:rsidRDefault="00D61AB3">
      <w:pPr>
        <w:pStyle w:val="Heading2"/>
      </w:pPr>
      <w:bookmarkStart w:id="12" w:name="_heading=h.qsh70q" w:colFirst="0" w:colLast="0"/>
      <w:bookmarkEnd w:id="12"/>
      <w:r>
        <w:t>4.2. Ficha técnica</w:t>
      </w:r>
    </w:p>
    <w:p w14:paraId="4FB5E8B1" w14:textId="77777777" w:rsidR="008238E6" w:rsidRDefault="00D61AB3">
      <w:pPr>
        <w:pStyle w:val="Heading4"/>
      </w:pPr>
      <w:bookmarkStart w:id="13" w:name="_heading=h.ue8qy2ubh7qj" w:colFirst="0" w:colLast="0"/>
      <w:bookmarkEnd w:id="13"/>
      <w:r>
        <w:rPr>
          <w:b/>
        </w:rPr>
        <w:t>Quadro 3.</w:t>
      </w:r>
      <w:r>
        <w:t xml:space="preserve"> Ficha técnica da tecnologia.</w:t>
      </w:r>
    </w:p>
    <w:tbl>
      <w:tblPr>
        <w:tblStyle w:val="affffc"/>
        <w:tblW w:w="895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660"/>
        <w:gridCol w:w="1811"/>
        <w:gridCol w:w="6481"/>
      </w:tblGrid>
      <w:tr w:rsidR="008238E6" w14:paraId="4FB5E8B5" w14:textId="77777777">
        <w:tc>
          <w:tcPr>
            <w:tcW w:w="660" w:type="dxa"/>
            <w:vAlign w:val="center"/>
          </w:tcPr>
          <w:p w14:paraId="4FB5E8B2" w14:textId="77777777" w:rsidR="008238E6" w:rsidRDefault="008238E6">
            <w:pPr>
              <w:spacing w:before="120" w:after="120"/>
              <w:jc w:val="center"/>
            </w:pPr>
          </w:p>
        </w:tc>
        <w:tc>
          <w:tcPr>
            <w:tcW w:w="1811" w:type="dxa"/>
            <w:vAlign w:val="center"/>
          </w:tcPr>
          <w:p w14:paraId="4FB5E8B3" w14:textId="77777777" w:rsidR="008238E6" w:rsidRDefault="00D61AB3">
            <w:pPr>
              <w:spacing w:before="120" w:after="120"/>
              <w:jc w:val="center"/>
              <w:rPr>
                <w:b/>
              </w:rPr>
            </w:pPr>
            <w:r>
              <w:rPr>
                <w:b/>
              </w:rPr>
              <w:t>Item</w:t>
            </w:r>
          </w:p>
        </w:tc>
        <w:tc>
          <w:tcPr>
            <w:tcW w:w="6481" w:type="dxa"/>
            <w:vAlign w:val="center"/>
          </w:tcPr>
          <w:p w14:paraId="4FB5E8B4" w14:textId="77777777" w:rsidR="008238E6" w:rsidRDefault="00D61AB3">
            <w:pPr>
              <w:spacing w:before="120" w:after="120"/>
              <w:jc w:val="center"/>
              <w:rPr>
                <w:b/>
              </w:rPr>
            </w:pPr>
            <w:r>
              <w:rPr>
                <w:b/>
              </w:rPr>
              <w:t>Descrição</w:t>
            </w:r>
          </w:p>
        </w:tc>
      </w:tr>
      <w:tr w:rsidR="008238E6" w14:paraId="4FB5E8B9" w14:textId="77777777">
        <w:tc>
          <w:tcPr>
            <w:tcW w:w="660" w:type="dxa"/>
            <w:vAlign w:val="center"/>
          </w:tcPr>
          <w:p w14:paraId="4FB5E8B6" w14:textId="77777777" w:rsidR="008238E6" w:rsidRDefault="00D61AB3">
            <w:pPr>
              <w:spacing w:before="120" w:after="120"/>
              <w:jc w:val="center"/>
            </w:pPr>
            <w:r>
              <w:t>1</w:t>
            </w:r>
          </w:p>
        </w:tc>
        <w:tc>
          <w:tcPr>
            <w:tcW w:w="1811" w:type="dxa"/>
            <w:vAlign w:val="center"/>
          </w:tcPr>
          <w:p w14:paraId="4FB5E8B7" w14:textId="77777777" w:rsidR="008238E6" w:rsidRDefault="00D61AB3">
            <w:pPr>
              <w:spacing w:before="120" w:after="120"/>
              <w:jc w:val="center"/>
            </w:pPr>
            <w:r>
              <w:rPr>
                <w:b/>
              </w:rPr>
              <w:t>Tipo</w:t>
            </w:r>
          </w:p>
        </w:tc>
        <w:tc>
          <w:tcPr>
            <w:tcW w:w="6481" w:type="dxa"/>
            <w:vAlign w:val="center"/>
          </w:tcPr>
          <w:p w14:paraId="4FB5E8B8" w14:textId="77777777" w:rsidR="008238E6" w:rsidRDefault="00D61AB3">
            <w:pPr>
              <w:spacing w:before="120" w:after="120"/>
              <w:jc w:val="center"/>
            </w:pPr>
            <w:r>
              <w:t>Teste genético</w:t>
            </w:r>
          </w:p>
        </w:tc>
      </w:tr>
      <w:tr w:rsidR="008238E6" w14:paraId="4FB5E8BD" w14:textId="77777777">
        <w:tc>
          <w:tcPr>
            <w:tcW w:w="660" w:type="dxa"/>
            <w:vAlign w:val="center"/>
          </w:tcPr>
          <w:p w14:paraId="4FB5E8BA" w14:textId="77777777" w:rsidR="008238E6" w:rsidRDefault="00D61AB3">
            <w:pPr>
              <w:spacing w:before="120" w:after="120"/>
              <w:jc w:val="center"/>
            </w:pPr>
            <w:r>
              <w:t>2</w:t>
            </w:r>
          </w:p>
        </w:tc>
        <w:tc>
          <w:tcPr>
            <w:tcW w:w="1811" w:type="dxa"/>
            <w:vAlign w:val="center"/>
          </w:tcPr>
          <w:p w14:paraId="4FB5E8BB" w14:textId="77777777" w:rsidR="008238E6" w:rsidRDefault="00D61AB3">
            <w:pPr>
              <w:spacing w:before="120" w:after="120"/>
              <w:jc w:val="center"/>
            </w:pPr>
            <w:bookmarkStart w:id="14" w:name="_heading=h.3as4poj" w:colFirst="0" w:colLast="0"/>
            <w:bookmarkEnd w:id="14"/>
            <w:r>
              <w:rPr>
                <w:b/>
              </w:rPr>
              <w:t>Princípio ativo</w:t>
            </w:r>
          </w:p>
        </w:tc>
        <w:tc>
          <w:tcPr>
            <w:tcW w:w="6481" w:type="dxa"/>
            <w:vAlign w:val="center"/>
          </w:tcPr>
          <w:p w14:paraId="4FB5E8BC" w14:textId="77777777" w:rsidR="008238E6" w:rsidRDefault="00D61AB3">
            <w:pPr>
              <w:spacing w:before="120" w:after="120"/>
            </w:pPr>
            <w:r>
              <w:t>Sequenciamento de DNA para identificação de variantes patogênicas nos genes associados ao Diabetes Tipo MODY (MODY 1 a 13).</w:t>
            </w:r>
          </w:p>
        </w:tc>
      </w:tr>
      <w:tr w:rsidR="008238E6" w14:paraId="4FB5E8C1" w14:textId="77777777">
        <w:tc>
          <w:tcPr>
            <w:tcW w:w="660" w:type="dxa"/>
            <w:vAlign w:val="center"/>
          </w:tcPr>
          <w:p w14:paraId="4FB5E8BE" w14:textId="77777777" w:rsidR="008238E6" w:rsidRDefault="00D61AB3">
            <w:pPr>
              <w:spacing w:before="120" w:after="120"/>
              <w:jc w:val="center"/>
            </w:pPr>
            <w:r>
              <w:t>3</w:t>
            </w:r>
          </w:p>
        </w:tc>
        <w:tc>
          <w:tcPr>
            <w:tcW w:w="1811" w:type="dxa"/>
            <w:vAlign w:val="center"/>
          </w:tcPr>
          <w:p w14:paraId="4FB5E8BF" w14:textId="77777777" w:rsidR="008238E6" w:rsidRDefault="00D61AB3">
            <w:pPr>
              <w:spacing w:before="120" w:after="120"/>
              <w:jc w:val="center"/>
            </w:pPr>
            <w:bookmarkStart w:id="15" w:name="_heading=h.1pxezwc" w:colFirst="0" w:colLast="0"/>
            <w:bookmarkEnd w:id="15"/>
            <w:r>
              <w:rPr>
                <w:b/>
              </w:rPr>
              <w:t>Nome comercial</w:t>
            </w:r>
          </w:p>
        </w:tc>
        <w:tc>
          <w:tcPr>
            <w:tcW w:w="6481" w:type="dxa"/>
            <w:vAlign w:val="center"/>
          </w:tcPr>
          <w:p w14:paraId="4FB5E8C0" w14:textId="77777777" w:rsidR="008238E6" w:rsidRDefault="00D61AB3">
            <w:pPr>
              <w:spacing w:before="120" w:after="120"/>
              <w:jc w:val="center"/>
            </w:pPr>
            <w:r>
              <w:t>Não aplicável (varia conforme o laboratório)</w:t>
            </w:r>
          </w:p>
        </w:tc>
      </w:tr>
      <w:tr w:rsidR="008238E6" w14:paraId="4FB5E8C5" w14:textId="77777777">
        <w:tc>
          <w:tcPr>
            <w:tcW w:w="660" w:type="dxa"/>
            <w:vAlign w:val="center"/>
          </w:tcPr>
          <w:p w14:paraId="4FB5E8C2" w14:textId="77777777" w:rsidR="008238E6" w:rsidRDefault="00D61AB3">
            <w:pPr>
              <w:spacing w:before="120" w:after="120"/>
              <w:jc w:val="center"/>
            </w:pPr>
            <w:r>
              <w:t>4</w:t>
            </w:r>
          </w:p>
        </w:tc>
        <w:tc>
          <w:tcPr>
            <w:tcW w:w="1811" w:type="dxa"/>
            <w:vAlign w:val="center"/>
          </w:tcPr>
          <w:p w14:paraId="4FB5E8C3" w14:textId="77777777" w:rsidR="008238E6" w:rsidRDefault="00D61AB3">
            <w:pPr>
              <w:spacing w:before="120" w:after="120"/>
              <w:jc w:val="center"/>
            </w:pPr>
            <w:r>
              <w:rPr>
                <w:b/>
              </w:rPr>
              <w:t>Fabricante</w:t>
            </w:r>
          </w:p>
        </w:tc>
        <w:tc>
          <w:tcPr>
            <w:tcW w:w="6481" w:type="dxa"/>
            <w:vAlign w:val="center"/>
          </w:tcPr>
          <w:p w14:paraId="4FB5E8C4" w14:textId="77777777" w:rsidR="008238E6" w:rsidRDefault="00D61AB3">
            <w:pPr>
              <w:spacing w:before="120" w:after="120"/>
              <w:jc w:val="center"/>
            </w:pPr>
            <w:r>
              <w:t>Não aplicável</w:t>
            </w:r>
          </w:p>
        </w:tc>
      </w:tr>
      <w:tr w:rsidR="008238E6" w14:paraId="4FB5E8C9" w14:textId="77777777">
        <w:tc>
          <w:tcPr>
            <w:tcW w:w="660" w:type="dxa"/>
            <w:vAlign w:val="center"/>
          </w:tcPr>
          <w:p w14:paraId="4FB5E8C6" w14:textId="77777777" w:rsidR="008238E6" w:rsidRDefault="00D61AB3">
            <w:pPr>
              <w:spacing w:before="120" w:after="120"/>
              <w:jc w:val="center"/>
            </w:pPr>
            <w:r>
              <w:t>5</w:t>
            </w:r>
          </w:p>
        </w:tc>
        <w:tc>
          <w:tcPr>
            <w:tcW w:w="1811" w:type="dxa"/>
            <w:vAlign w:val="center"/>
          </w:tcPr>
          <w:p w14:paraId="4FB5E8C7" w14:textId="77777777" w:rsidR="008238E6" w:rsidRDefault="00D61AB3">
            <w:pPr>
              <w:spacing w:before="120" w:after="120"/>
              <w:jc w:val="center"/>
            </w:pPr>
            <w:r>
              <w:rPr>
                <w:b/>
              </w:rPr>
              <w:t>Detentor do registro</w:t>
            </w:r>
          </w:p>
        </w:tc>
        <w:tc>
          <w:tcPr>
            <w:tcW w:w="6481" w:type="dxa"/>
            <w:vAlign w:val="center"/>
          </w:tcPr>
          <w:p w14:paraId="4FB5E8C8" w14:textId="77777777" w:rsidR="008238E6" w:rsidRDefault="00D61AB3">
            <w:pPr>
              <w:spacing w:before="120" w:after="120"/>
              <w:jc w:val="center"/>
            </w:pPr>
            <w:r>
              <w:t xml:space="preserve"> Não aplicável</w:t>
            </w:r>
          </w:p>
        </w:tc>
      </w:tr>
      <w:tr w:rsidR="008238E6" w14:paraId="4FB5E8CD" w14:textId="77777777">
        <w:tc>
          <w:tcPr>
            <w:tcW w:w="660" w:type="dxa"/>
            <w:vAlign w:val="center"/>
          </w:tcPr>
          <w:p w14:paraId="4FB5E8CA" w14:textId="77777777" w:rsidR="008238E6" w:rsidRDefault="00D61AB3">
            <w:pPr>
              <w:spacing w:before="120" w:after="120"/>
              <w:jc w:val="center"/>
            </w:pPr>
            <w:r>
              <w:t>6</w:t>
            </w:r>
          </w:p>
        </w:tc>
        <w:tc>
          <w:tcPr>
            <w:tcW w:w="1811" w:type="dxa"/>
            <w:vAlign w:val="center"/>
          </w:tcPr>
          <w:p w14:paraId="4FB5E8CB" w14:textId="77777777" w:rsidR="008238E6" w:rsidRDefault="00D61AB3">
            <w:pPr>
              <w:spacing w:before="120" w:after="120"/>
              <w:jc w:val="center"/>
            </w:pPr>
            <w:r>
              <w:rPr>
                <w:b/>
              </w:rPr>
              <w:t>Apresentação</w:t>
            </w:r>
          </w:p>
        </w:tc>
        <w:tc>
          <w:tcPr>
            <w:tcW w:w="6481" w:type="dxa"/>
            <w:vAlign w:val="center"/>
          </w:tcPr>
          <w:p w14:paraId="4FB5E8CC" w14:textId="77777777" w:rsidR="008238E6" w:rsidRDefault="00D61AB3">
            <w:pPr>
              <w:spacing w:before="120" w:after="120"/>
              <w:jc w:val="center"/>
              <w:rPr>
                <w:b/>
              </w:rPr>
            </w:pPr>
            <w:r>
              <w:t xml:space="preserve"> Não aplicável</w:t>
            </w:r>
          </w:p>
        </w:tc>
      </w:tr>
      <w:tr w:rsidR="008238E6" w14:paraId="4FB5E8D1" w14:textId="77777777">
        <w:tc>
          <w:tcPr>
            <w:tcW w:w="660" w:type="dxa"/>
            <w:vAlign w:val="center"/>
          </w:tcPr>
          <w:p w14:paraId="4FB5E8CE" w14:textId="77777777" w:rsidR="008238E6" w:rsidRDefault="00D61AB3">
            <w:pPr>
              <w:spacing w:before="120" w:after="120"/>
              <w:jc w:val="center"/>
            </w:pPr>
            <w:r>
              <w:t>7</w:t>
            </w:r>
          </w:p>
        </w:tc>
        <w:tc>
          <w:tcPr>
            <w:tcW w:w="1811" w:type="dxa"/>
            <w:vAlign w:val="center"/>
          </w:tcPr>
          <w:p w14:paraId="4FB5E8CF" w14:textId="77777777" w:rsidR="008238E6" w:rsidRDefault="00D61AB3">
            <w:pPr>
              <w:spacing w:before="120" w:after="120"/>
              <w:jc w:val="center"/>
            </w:pPr>
            <w:r>
              <w:rPr>
                <w:b/>
              </w:rPr>
              <w:t>Indicação aprovada na Anvisa</w:t>
            </w:r>
          </w:p>
        </w:tc>
        <w:tc>
          <w:tcPr>
            <w:tcW w:w="6481" w:type="dxa"/>
            <w:vAlign w:val="center"/>
          </w:tcPr>
          <w:p w14:paraId="4FB5E8D0" w14:textId="77777777" w:rsidR="008238E6" w:rsidRDefault="00D61AB3">
            <w:pPr>
              <w:spacing w:before="120" w:after="120"/>
              <w:jc w:val="center"/>
            </w:pPr>
            <w:r>
              <w:t xml:space="preserve"> Não aplicável</w:t>
            </w:r>
          </w:p>
        </w:tc>
      </w:tr>
      <w:tr w:rsidR="008238E6" w14:paraId="4FB5E8D5" w14:textId="77777777">
        <w:tc>
          <w:tcPr>
            <w:tcW w:w="660" w:type="dxa"/>
            <w:vAlign w:val="center"/>
          </w:tcPr>
          <w:p w14:paraId="4FB5E8D2" w14:textId="77777777" w:rsidR="008238E6" w:rsidRDefault="00D61AB3">
            <w:pPr>
              <w:spacing w:before="120" w:after="120"/>
              <w:jc w:val="center"/>
            </w:pPr>
            <w:r>
              <w:t>8</w:t>
            </w:r>
          </w:p>
        </w:tc>
        <w:tc>
          <w:tcPr>
            <w:tcW w:w="1811" w:type="dxa"/>
            <w:vAlign w:val="center"/>
          </w:tcPr>
          <w:p w14:paraId="4FB5E8D3" w14:textId="77777777" w:rsidR="008238E6" w:rsidRDefault="00D61AB3">
            <w:pPr>
              <w:spacing w:before="120" w:after="120"/>
              <w:jc w:val="center"/>
              <w:rPr>
                <w:b/>
              </w:rPr>
            </w:pPr>
            <w:r>
              <w:rPr>
                <w:b/>
              </w:rPr>
              <w:t>Indicação proposta pelo proponente</w:t>
            </w:r>
          </w:p>
        </w:tc>
        <w:tc>
          <w:tcPr>
            <w:tcW w:w="6481" w:type="dxa"/>
            <w:vAlign w:val="center"/>
          </w:tcPr>
          <w:p w14:paraId="4FB5E8D4" w14:textId="77777777" w:rsidR="008238E6" w:rsidRDefault="00D61AB3">
            <w:pPr>
              <w:spacing w:before="120" w:after="120"/>
              <w:jc w:val="center"/>
            </w:pPr>
            <w:r>
              <w:t>Teste diagnóstico para identificação de Diabetes tipo MODY</w:t>
            </w:r>
          </w:p>
        </w:tc>
      </w:tr>
      <w:tr w:rsidR="008238E6" w14:paraId="4FB5E8D9" w14:textId="77777777">
        <w:tc>
          <w:tcPr>
            <w:tcW w:w="660" w:type="dxa"/>
            <w:vAlign w:val="center"/>
          </w:tcPr>
          <w:p w14:paraId="4FB5E8D6" w14:textId="77777777" w:rsidR="008238E6" w:rsidRDefault="00D61AB3">
            <w:pPr>
              <w:spacing w:before="120" w:after="120"/>
              <w:jc w:val="center"/>
            </w:pPr>
            <w:r>
              <w:t>9</w:t>
            </w:r>
          </w:p>
        </w:tc>
        <w:tc>
          <w:tcPr>
            <w:tcW w:w="1811" w:type="dxa"/>
            <w:vAlign w:val="center"/>
          </w:tcPr>
          <w:p w14:paraId="4FB5E8D7" w14:textId="77777777" w:rsidR="008238E6" w:rsidRDefault="00D61AB3">
            <w:pPr>
              <w:spacing w:before="120" w:after="120"/>
              <w:jc w:val="center"/>
            </w:pPr>
            <w:bookmarkStart w:id="16" w:name="_heading=h.49x2ik5" w:colFirst="0" w:colLast="0"/>
            <w:bookmarkEnd w:id="16"/>
            <w:r>
              <w:rPr>
                <w:b/>
              </w:rPr>
              <w:t>Posologia e forma de administração</w:t>
            </w:r>
          </w:p>
        </w:tc>
        <w:tc>
          <w:tcPr>
            <w:tcW w:w="6481" w:type="dxa"/>
            <w:vAlign w:val="center"/>
          </w:tcPr>
          <w:p w14:paraId="4FB5E8D8" w14:textId="77777777" w:rsidR="008238E6" w:rsidRDefault="00D61AB3">
            <w:pPr>
              <w:spacing w:before="120" w:after="120"/>
              <w:jc w:val="center"/>
            </w:pPr>
            <w:r>
              <w:t xml:space="preserve"> Não aplicável</w:t>
            </w:r>
          </w:p>
        </w:tc>
      </w:tr>
      <w:tr w:rsidR="008238E6" w14:paraId="4FB5E8DD" w14:textId="77777777">
        <w:tc>
          <w:tcPr>
            <w:tcW w:w="660" w:type="dxa"/>
            <w:vAlign w:val="center"/>
          </w:tcPr>
          <w:p w14:paraId="4FB5E8DA" w14:textId="77777777" w:rsidR="008238E6" w:rsidRDefault="00D61AB3">
            <w:pPr>
              <w:spacing w:before="120" w:after="120"/>
              <w:jc w:val="center"/>
            </w:pPr>
            <w:r>
              <w:t>10</w:t>
            </w:r>
          </w:p>
        </w:tc>
        <w:tc>
          <w:tcPr>
            <w:tcW w:w="1811" w:type="dxa"/>
            <w:vAlign w:val="center"/>
          </w:tcPr>
          <w:p w14:paraId="4FB5E8DB" w14:textId="77777777" w:rsidR="008238E6" w:rsidRDefault="00D61AB3">
            <w:pPr>
              <w:spacing w:before="120" w:after="120"/>
              <w:jc w:val="center"/>
            </w:pPr>
            <w:r>
              <w:rPr>
                <w:b/>
              </w:rPr>
              <w:t>Patente</w:t>
            </w:r>
          </w:p>
        </w:tc>
        <w:tc>
          <w:tcPr>
            <w:tcW w:w="6481" w:type="dxa"/>
            <w:vAlign w:val="center"/>
          </w:tcPr>
          <w:p w14:paraId="4FB5E8DC" w14:textId="77777777" w:rsidR="008238E6" w:rsidRDefault="00D61AB3">
            <w:pPr>
              <w:spacing w:before="120" w:after="120"/>
              <w:jc w:val="center"/>
            </w:pPr>
            <w:r>
              <w:t xml:space="preserve"> Não aplicável</w:t>
            </w:r>
          </w:p>
        </w:tc>
      </w:tr>
    </w:tbl>
    <w:p w14:paraId="4FB5E8DE" w14:textId="77777777" w:rsidR="008238E6" w:rsidRDefault="008238E6">
      <w:pPr>
        <w:rPr>
          <w:smallCaps/>
          <w:highlight w:val="cyan"/>
        </w:rPr>
      </w:pPr>
    </w:p>
    <w:tbl>
      <w:tblPr>
        <w:tblStyle w:val="affffd"/>
        <w:tblW w:w="914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42"/>
      </w:tblGrid>
      <w:tr w:rsidR="008238E6" w14:paraId="4FB5E8E0" w14:textId="77777777">
        <w:trPr>
          <w:trHeight w:val="750"/>
        </w:trPr>
        <w:tc>
          <w:tcPr>
            <w:tcW w:w="9142" w:type="dxa"/>
            <w:shd w:val="clear" w:color="auto" w:fill="D9E2F3"/>
            <w:vAlign w:val="center"/>
          </w:tcPr>
          <w:p w14:paraId="4FB5E8DF" w14:textId="77777777" w:rsidR="008238E6" w:rsidRDefault="00D61AB3">
            <w:pPr>
              <w:spacing w:before="120" w:after="120" w:line="240" w:lineRule="auto"/>
              <w:jc w:val="center"/>
              <w:rPr>
                <w:b/>
              </w:rPr>
            </w:pPr>
            <w:r>
              <w:rPr>
                <w:b/>
              </w:rPr>
              <w:t>Comentários gerais sobre a ficha técnica</w:t>
            </w:r>
          </w:p>
        </w:tc>
      </w:tr>
      <w:tr w:rsidR="008238E6" w14:paraId="4FB5E8E4" w14:textId="77777777">
        <w:trPr>
          <w:trHeight w:val="750"/>
        </w:trPr>
        <w:tc>
          <w:tcPr>
            <w:tcW w:w="9142" w:type="dxa"/>
            <w:vAlign w:val="center"/>
          </w:tcPr>
          <w:p w14:paraId="4FB5E8E1" w14:textId="589A99F9" w:rsidR="008238E6" w:rsidRDefault="00D61AB3">
            <w:pPr>
              <w:spacing w:before="120" w:after="120"/>
            </w:pPr>
            <w:r w:rsidRPr="00A47AEF">
              <w:t>O PROPONENTE não apresentou a ficha técnica</w:t>
            </w:r>
            <w:r w:rsidR="00242F8A" w:rsidRPr="00A47AEF">
              <w:t xml:space="preserve"> completa</w:t>
            </w:r>
            <w:r w:rsidRPr="00A47AEF">
              <w:t xml:space="preserve"> da tecnologia em questão, e não </w:t>
            </w:r>
            <w:r w:rsidR="0070474F">
              <w:t>trouxe clareza</w:t>
            </w:r>
            <w:r w:rsidR="003C3525" w:rsidRPr="00A47AEF">
              <w:t xml:space="preserve"> em </w:t>
            </w:r>
            <w:r w:rsidR="00A47AEF" w:rsidRPr="00A47AEF">
              <w:t>relação à</w:t>
            </w:r>
            <w:r w:rsidRPr="00A47AEF">
              <w:t xml:space="preserve"> técnica pleiteada para a incorporação, segundo o formulário de procedimento apresentado</w:t>
            </w:r>
            <w:r>
              <w:t xml:space="preserve">. </w:t>
            </w:r>
          </w:p>
          <w:p w14:paraId="4FB5E8E2" w14:textId="1EF17DD1" w:rsidR="008238E6" w:rsidRDefault="00D61AB3">
            <w:pPr>
              <w:spacing w:before="120" w:after="120"/>
            </w:pPr>
            <w:r>
              <w:t xml:space="preserve">Vários itens não </w:t>
            </w:r>
            <w:r w:rsidR="0056019F">
              <w:t>eram</w:t>
            </w:r>
            <w:r>
              <w:t xml:space="preserve"> aplicáveis, uma vez que a base para a realização do teste genético para o diabetes tipo MODY é idêntica </w:t>
            </w:r>
            <w:r w:rsidR="003C3525">
              <w:t>à</w:t>
            </w:r>
            <w:r>
              <w:t xml:space="preserve"> de outros testes genéticos somáticos disponíveis no mercado. </w:t>
            </w:r>
          </w:p>
          <w:p w14:paraId="4FB5E8E3" w14:textId="0953C446" w:rsidR="008238E6" w:rsidRDefault="00D61AB3">
            <w:pPr>
              <w:spacing w:before="120" w:after="120"/>
            </w:pPr>
            <w:r>
              <w:t xml:space="preserve">A análise dos </w:t>
            </w:r>
            <w:r w:rsidR="00242F8A">
              <w:t>PARECERISTAS é</w:t>
            </w:r>
            <w:r>
              <w:t xml:space="preserve"> relacionada ao teste genético em específico independente da técnica a ser utilizada.</w:t>
            </w:r>
          </w:p>
        </w:tc>
      </w:tr>
    </w:tbl>
    <w:p w14:paraId="4FB5E8E5" w14:textId="77777777" w:rsidR="008238E6" w:rsidRDefault="008238E6">
      <w:pPr>
        <w:spacing w:before="0" w:after="160" w:line="259" w:lineRule="auto"/>
        <w:jc w:val="left"/>
        <w:rPr>
          <w:b/>
          <w:smallCaps/>
          <w:sz w:val="28"/>
          <w:szCs w:val="28"/>
        </w:rPr>
      </w:pPr>
      <w:bookmarkStart w:id="17" w:name="_heading=h.2p2csry" w:colFirst="0" w:colLast="0"/>
      <w:bookmarkEnd w:id="17"/>
    </w:p>
    <w:p w14:paraId="4FB5E8E6" w14:textId="77777777" w:rsidR="008238E6" w:rsidRDefault="00D61AB3">
      <w:pPr>
        <w:pStyle w:val="Heading1"/>
      </w:pPr>
      <w:r>
        <w:t>5. AVALIAÇÃO DE EFICÁCIA/EFETIVIDADE E SEGURANÇA</w:t>
      </w:r>
    </w:p>
    <w:p w14:paraId="4FB5E8E7" w14:textId="77777777" w:rsidR="008238E6" w:rsidRDefault="00D61AB3">
      <w:pPr>
        <w:ind w:firstLine="720"/>
      </w:pPr>
      <w:r>
        <w:t xml:space="preserve">A avaliação da eficácia/efetividade e segurança foi analisada a partir de elementos contidos no roteiro elaborado pela equipe técnica da ANS e considerando as Diretrizes Metodológicas publicadas pelo Ministério da Saúde para a elaboração de revisões sistemáticas </w:t>
      </w:r>
      <w:r>
        <w:rPr>
          <w:vertAlign w:val="superscript"/>
        </w:rPr>
        <w:t xml:space="preserve">1 </w:t>
      </w:r>
      <w:r>
        <w:t xml:space="preserve">ou de parecer técnico-científico (PTC) </w:t>
      </w:r>
      <w:r>
        <w:rPr>
          <w:vertAlign w:val="superscript"/>
        </w:rPr>
        <w:t>2</w:t>
      </w:r>
      <w:r>
        <w:t>.</w:t>
      </w:r>
    </w:p>
    <w:p w14:paraId="4FB5E8E8" w14:textId="77777777" w:rsidR="008238E6" w:rsidRDefault="00D61AB3">
      <w:pPr>
        <w:spacing w:before="0" w:after="160" w:line="259" w:lineRule="auto"/>
        <w:ind w:firstLine="720"/>
        <w:jc w:val="left"/>
      </w:pPr>
      <w:r>
        <w:t>O PROPONENTE apresentou o seguinte tipo de síntese de evidências:</w:t>
      </w:r>
    </w:p>
    <w:p w14:paraId="4FB5E8E9" w14:textId="77777777" w:rsidR="008238E6" w:rsidRDefault="00D61AB3">
      <w:pPr>
        <w:spacing w:before="0" w:after="160" w:line="259" w:lineRule="auto"/>
        <w:ind w:firstLine="720"/>
        <w:jc w:val="left"/>
      </w:pPr>
      <w:r>
        <w:t>(  ) Revisão sistemática.</w:t>
      </w:r>
    </w:p>
    <w:p w14:paraId="4FB5E8EA" w14:textId="77777777" w:rsidR="008238E6" w:rsidRDefault="00D61AB3">
      <w:pPr>
        <w:spacing w:before="0" w:after="160" w:line="259" w:lineRule="auto"/>
        <w:ind w:firstLine="720"/>
        <w:jc w:val="left"/>
      </w:pPr>
      <w:r>
        <w:t>(x) Parecer técnico-científico (PTC).</w:t>
      </w:r>
    </w:p>
    <w:tbl>
      <w:tblPr>
        <w:tblStyle w:val="affffe"/>
        <w:tblW w:w="914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42"/>
      </w:tblGrid>
      <w:tr w:rsidR="008238E6" w14:paraId="4FB5E8EC" w14:textId="77777777">
        <w:trPr>
          <w:trHeight w:val="551"/>
        </w:trPr>
        <w:tc>
          <w:tcPr>
            <w:tcW w:w="9142" w:type="dxa"/>
            <w:shd w:val="clear" w:color="auto" w:fill="D9E2F3"/>
            <w:vAlign w:val="center"/>
          </w:tcPr>
          <w:p w14:paraId="4FB5E8EB" w14:textId="77777777" w:rsidR="008238E6" w:rsidRDefault="00D61AB3">
            <w:pPr>
              <w:spacing w:before="120" w:after="120"/>
              <w:jc w:val="center"/>
              <w:rPr>
                <w:b/>
              </w:rPr>
            </w:pPr>
            <w:r>
              <w:rPr>
                <w:b/>
              </w:rPr>
              <w:t>Comentários gerais sobre escolha do tipo de síntese</w:t>
            </w:r>
          </w:p>
        </w:tc>
      </w:tr>
      <w:tr w:rsidR="008238E6" w14:paraId="4FB5E8EE" w14:textId="77777777">
        <w:trPr>
          <w:trHeight w:val="750"/>
        </w:trPr>
        <w:tc>
          <w:tcPr>
            <w:tcW w:w="9142" w:type="dxa"/>
            <w:vAlign w:val="center"/>
          </w:tcPr>
          <w:p w14:paraId="4FB5E8ED" w14:textId="76B904BB" w:rsidR="008238E6" w:rsidRDefault="00D61AB3">
            <w:pPr>
              <w:spacing w:before="120" w:after="120"/>
            </w:pPr>
            <w:r>
              <w:t>O PROPONENTE elaborou um parecer técnico-científico incluindo em suas análises estudos de revisão sistemática, ensaios clínicos randomizados controlados, ensaios clínicos não randomizados e estudos observacionais que avaliaram o diagnóstico genético de pacientes com diabetes tipo MODY, e como esse diagnóstico correto influenciou no manejo clínico do paciente.</w:t>
            </w:r>
          </w:p>
        </w:tc>
      </w:tr>
    </w:tbl>
    <w:p w14:paraId="4FB5E8EF" w14:textId="77777777" w:rsidR="008238E6" w:rsidRDefault="008238E6">
      <w:pPr>
        <w:rPr>
          <w:smallCaps/>
          <w:highlight w:val="cyan"/>
        </w:rPr>
      </w:pPr>
    </w:p>
    <w:p w14:paraId="5C2F0668" w14:textId="77777777" w:rsidR="0056019F" w:rsidRDefault="0056019F">
      <w:pPr>
        <w:rPr>
          <w:smallCaps/>
          <w:highlight w:val="cyan"/>
        </w:rPr>
      </w:pPr>
    </w:p>
    <w:p w14:paraId="4FB5E8F0" w14:textId="77777777" w:rsidR="008238E6" w:rsidRDefault="00D61AB3">
      <w:pPr>
        <w:pStyle w:val="Heading2"/>
      </w:pPr>
      <w:bookmarkStart w:id="18" w:name="_heading=h.147n2zr" w:colFirst="0" w:colLast="0"/>
      <w:bookmarkEnd w:id="18"/>
      <w:r>
        <w:t>5.1. Pergunta estruturada</w:t>
      </w:r>
    </w:p>
    <w:tbl>
      <w:tblPr>
        <w:tblStyle w:val="afffff"/>
        <w:tblW w:w="910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102"/>
      </w:tblGrid>
      <w:tr w:rsidR="008238E6" w14:paraId="4FB5E8F5" w14:textId="77777777">
        <w:tc>
          <w:tcPr>
            <w:tcW w:w="9102" w:type="dxa"/>
            <w:shd w:val="clear" w:color="auto" w:fill="D9E2F3"/>
          </w:tcPr>
          <w:p w14:paraId="4FB5E8F1" w14:textId="77777777" w:rsidR="008238E6" w:rsidRDefault="00D61AB3">
            <w:pPr>
              <w:spacing w:line="360" w:lineRule="auto"/>
              <w:jc w:val="center"/>
              <w:rPr>
                <w:b/>
              </w:rPr>
            </w:pPr>
            <w:r>
              <w:rPr>
                <w:b/>
              </w:rPr>
              <w:t>PERGUNTA ESTRUTURADA DO PROPONENTE:</w:t>
            </w:r>
          </w:p>
          <w:p w14:paraId="4FB5E8F2" w14:textId="77777777" w:rsidR="008238E6" w:rsidRDefault="00D61AB3">
            <w:pPr>
              <w:spacing w:line="360" w:lineRule="auto"/>
              <w:jc w:val="center"/>
            </w:pPr>
            <w:r>
              <w:t>Existe diferença no cuidado do indivíduo precocemente diagnosticado com diabetes tipo MODY por meio de teste genético?</w:t>
            </w:r>
          </w:p>
          <w:p w14:paraId="4FB5E8F3" w14:textId="77777777" w:rsidR="008238E6" w:rsidRDefault="00D61AB3">
            <w:pPr>
              <w:spacing w:line="360" w:lineRule="auto"/>
              <w:jc w:val="center"/>
              <w:rPr>
                <w:b/>
              </w:rPr>
            </w:pPr>
            <w:r>
              <w:rPr>
                <w:b/>
              </w:rPr>
              <w:t>PERGUNTA ESTRUTURADA DO PARECERISTA:</w:t>
            </w:r>
          </w:p>
          <w:p w14:paraId="4FB5E8F4" w14:textId="6BD29D67" w:rsidR="008238E6" w:rsidRDefault="00D61AB3">
            <w:pPr>
              <w:spacing w:line="360" w:lineRule="auto"/>
            </w:pPr>
            <w:r>
              <w:t>Em pacientes com suspeita de diabetes tipo MODY com diagnóstico anterior aos 30 anos de idade, o diagnóstico por teste genético é mais eficaz para implementação do melhor tratamento farmacológico e redução de efeitos adversos e de complicações crônicas, quando comparado ao diagnóstico clínico (probabilidade igual ou superior a 60% de MODY em calculadora validada)?</w:t>
            </w:r>
          </w:p>
        </w:tc>
      </w:tr>
    </w:tbl>
    <w:p w14:paraId="4FB5E8F6" w14:textId="77777777" w:rsidR="008238E6" w:rsidRDefault="008238E6">
      <w:pPr>
        <w:jc w:val="left"/>
        <w:rPr>
          <w:b/>
        </w:rPr>
      </w:pPr>
      <w:bookmarkStart w:id="19" w:name="_heading=h.23ckvvd" w:colFirst="0" w:colLast="0"/>
      <w:bookmarkEnd w:id="19"/>
    </w:p>
    <w:p w14:paraId="4FB5E8F7" w14:textId="77777777" w:rsidR="008238E6" w:rsidRDefault="00D61AB3">
      <w:pPr>
        <w:pStyle w:val="Heading4"/>
      </w:pPr>
      <w:bookmarkStart w:id="20" w:name="_heading=h.ihv636" w:colFirst="0" w:colLast="0"/>
      <w:bookmarkEnd w:id="20"/>
      <w:r>
        <w:rPr>
          <w:b/>
        </w:rPr>
        <w:t xml:space="preserve">Quadro 4. </w:t>
      </w:r>
      <w:r>
        <w:t>Pergunta estruturada (PICOS) (versão do PROPONENTE e do PARECERISTA).</w:t>
      </w:r>
    </w:p>
    <w:tbl>
      <w:tblPr>
        <w:tblStyle w:val="afffff0"/>
        <w:tblW w:w="90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3685"/>
        <w:gridCol w:w="3705"/>
      </w:tblGrid>
      <w:tr w:rsidR="008238E6" w14:paraId="4FB5E8FB" w14:textId="77777777">
        <w:trPr>
          <w:trHeight w:val="454"/>
          <w:jc w:val="center"/>
        </w:trPr>
        <w:tc>
          <w:tcPr>
            <w:tcW w:w="1702" w:type="dxa"/>
            <w:shd w:val="clear" w:color="auto" w:fill="D9E2F3"/>
          </w:tcPr>
          <w:p w14:paraId="4FB5E8F8" w14:textId="77777777" w:rsidR="008238E6" w:rsidRDefault="00D61AB3">
            <w:pPr>
              <w:spacing w:before="120" w:after="120" w:line="240" w:lineRule="auto"/>
              <w:jc w:val="center"/>
              <w:rPr>
                <w:b/>
              </w:rPr>
            </w:pPr>
            <w:r>
              <w:rPr>
                <w:b/>
              </w:rPr>
              <w:t>Componente</w:t>
            </w:r>
          </w:p>
        </w:tc>
        <w:tc>
          <w:tcPr>
            <w:tcW w:w="3685" w:type="dxa"/>
            <w:shd w:val="clear" w:color="auto" w:fill="D9E2F3"/>
          </w:tcPr>
          <w:p w14:paraId="4FB5E8F9" w14:textId="77777777" w:rsidR="008238E6" w:rsidRDefault="00D61AB3">
            <w:pPr>
              <w:spacing w:before="120" w:after="120" w:line="240" w:lineRule="auto"/>
              <w:jc w:val="center"/>
              <w:rPr>
                <w:b/>
              </w:rPr>
            </w:pPr>
            <w:r>
              <w:rPr>
                <w:b/>
              </w:rPr>
              <w:t>Proponente</w:t>
            </w:r>
          </w:p>
        </w:tc>
        <w:tc>
          <w:tcPr>
            <w:tcW w:w="3705" w:type="dxa"/>
            <w:shd w:val="clear" w:color="auto" w:fill="D9E2F3"/>
          </w:tcPr>
          <w:p w14:paraId="4FB5E8FA" w14:textId="77777777" w:rsidR="008238E6" w:rsidRDefault="00D61AB3">
            <w:pPr>
              <w:spacing w:before="120" w:after="120" w:line="240" w:lineRule="auto"/>
              <w:jc w:val="center"/>
              <w:rPr>
                <w:b/>
              </w:rPr>
            </w:pPr>
            <w:r>
              <w:rPr>
                <w:b/>
              </w:rPr>
              <w:t>Parecerista</w:t>
            </w:r>
          </w:p>
        </w:tc>
      </w:tr>
      <w:tr w:rsidR="008238E6" w14:paraId="4FB5E900" w14:textId="77777777" w:rsidTr="002F5F42">
        <w:trPr>
          <w:trHeight w:val="454"/>
          <w:jc w:val="center"/>
        </w:trPr>
        <w:tc>
          <w:tcPr>
            <w:tcW w:w="1702" w:type="dxa"/>
            <w:shd w:val="clear" w:color="auto" w:fill="auto"/>
            <w:vAlign w:val="center"/>
          </w:tcPr>
          <w:p w14:paraId="4FB5E8FC" w14:textId="77777777" w:rsidR="008238E6" w:rsidRDefault="00D61AB3">
            <w:pPr>
              <w:spacing w:before="120" w:after="120" w:line="240" w:lineRule="auto"/>
              <w:jc w:val="center"/>
              <w:rPr>
                <w:b/>
              </w:rPr>
            </w:pPr>
            <w:r>
              <w:rPr>
                <w:b/>
              </w:rPr>
              <w:t>População</w:t>
            </w:r>
          </w:p>
        </w:tc>
        <w:tc>
          <w:tcPr>
            <w:tcW w:w="3685" w:type="dxa"/>
            <w:shd w:val="clear" w:color="auto" w:fill="auto"/>
            <w:vAlign w:val="center"/>
          </w:tcPr>
          <w:p w14:paraId="4FB5E8FD" w14:textId="77777777" w:rsidR="008238E6" w:rsidRDefault="00D61AB3">
            <w:pPr>
              <w:spacing w:before="120" w:after="120" w:line="240" w:lineRule="auto"/>
              <w:jc w:val="center"/>
            </w:pPr>
            <w:r>
              <w:t>Indivíduos com Diabetes tipo MODY</w:t>
            </w:r>
          </w:p>
        </w:tc>
        <w:tc>
          <w:tcPr>
            <w:tcW w:w="3705" w:type="dxa"/>
            <w:vAlign w:val="center"/>
          </w:tcPr>
          <w:p w14:paraId="4FB5E8FF" w14:textId="44528903" w:rsidR="008238E6" w:rsidRPr="002F5F42" w:rsidRDefault="00D61AB3" w:rsidP="002F5F42">
            <w:pPr>
              <w:spacing w:before="120" w:after="120" w:line="240" w:lineRule="auto"/>
              <w:rPr>
                <w:highlight w:val="yellow"/>
              </w:rPr>
            </w:pPr>
            <w:r>
              <w:t>Pacientes com diabetes mellitus com diagnóstico até os 30 anos com probabilidade clínica de 60% ou mais de diabetes tipo MODY</w:t>
            </w:r>
            <w:r w:rsidR="00D15161">
              <w:t xml:space="preserve">, </w:t>
            </w:r>
            <w:r>
              <w:t>conforme</w:t>
            </w:r>
            <w:r w:rsidR="00D15161">
              <w:t xml:space="preserve"> </w:t>
            </w:r>
            <w:r>
              <w:t>modelo de predição de probabilidade de MODY (</w:t>
            </w:r>
            <w:r>
              <w:rPr>
                <w:i/>
              </w:rPr>
              <w:t>MODY</w:t>
            </w:r>
            <w:r>
              <w:t xml:space="preserve"> </w:t>
            </w:r>
            <w:r>
              <w:rPr>
                <w:i/>
              </w:rPr>
              <w:t>Probability Calculator</w:t>
            </w:r>
            <w:r>
              <w:t>)</w:t>
            </w:r>
            <w:r w:rsidR="002F5F42">
              <w:t>.</w:t>
            </w:r>
            <w:r>
              <w:t xml:space="preserve"> </w:t>
            </w:r>
          </w:p>
        </w:tc>
      </w:tr>
      <w:tr w:rsidR="008238E6" w14:paraId="4FB5E904" w14:textId="77777777" w:rsidTr="002F5F42">
        <w:trPr>
          <w:trHeight w:val="454"/>
          <w:jc w:val="center"/>
        </w:trPr>
        <w:tc>
          <w:tcPr>
            <w:tcW w:w="1702" w:type="dxa"/>
            <w:shd w:val="clear" w:color="auto" w:fill="auto"/>
            <w:vAlign w:val="center"/>
          </w:tcPr>
          <w:p w14:paraId="4FB5E901" w14:textId="77777777" w:rsidR="008238E6" w:rsidRDefault="00D61AB3">
            <w:pPr>
              <w:spacing w:before="120" w:after="120" w:line="240" w:lineRule="auto"/>
              <w:jc w:val="center"/>
              <w:rPr>
                <w:highlight w:val="yellow"/>
              </w:rPr>
            </w:pPr>
            <w:r>
              <w:rPr>
                <w:b/>
              </w:rPr>
              <w:t>Intervenção (tecnologia)</w:t>
            </w:r>
          </w:p>
        </w:tc>
        <w:tc>
          <w:tcPr>
            <w:tcW w:w="3685" w:type="dxa"/>
            <w:shd w:val="clear" w:color="auto" w:fill="auto"/>
            <w:vAlign w:val="center"/>
          </w:tcPr>
          <w:p w14:paraId="4FB5E902" w14:textId="77777777" w:rsidR="008238E6" w:rsidRDefault="00D61AB3">
            <w:pPr>
              <w:spacing w:before="120" w:after="120" w:line="240" w:lineRule="auto"/>
            </w:pPr>
            <w:r>
              <w:t>Teste diagnóstico para identificação de Diabetes tipo MODY</w:t>
            </w:r>
          </w:p>
        </w:tc>
        <w:tc>
          <w:tcPr>
            <w:tcW w:w="3705" w:type="dxa"/>
            <w:shd w:val="clear" w:color="auto" w:fill="auto"/>
            <w:vAlign w:val="center"/>
          </w:tcPr>
          <w:p w14:paraId="4FB5E903" w14:textId="77777777" w:rsidR="008238E6" w:rsidRDefault="00D61AB3">
            <w:pPr>
              <w:spacing w:before="120" w:after="120" w:line="240" w:lineRule="auto"/>
            </w:pPr>
            <w:r>
              <w:t>Teste diagnóstico genético para identificação de diabetes tipo MODY, independente da técnica.</w:t>
            </w:r>
          </w:p>
        </w:tc>
      </w:tr>
      <w:tr w:rsidR="008238E6" w14:paraId="4FB5E90C" w14:textId="77777777" w:rsidTr="002F5F42">
        <w:trPr>
          <w:trHeight w:val="454"/>
          <w:jc w:val="center"/>
        </w:trPr>
        <w:tc>
          <w:tcPr>
            <w:tcW w:w="1702" w:type="dxa"/>
            <w:shd w:val="clear" w:color="auto" w:fill="auto"/>
            <w:vAlign w:val="center"/>
          </w:tcPr>
          <w:p w14:paraId="4FB5E905" w14:textId="77777777" w:rsidR="008238E6" w:rsidRDefault="00D61AB3">
            <w:pPr>
              <w:spacing w:before="120" w:after="120" w:line="240" w:lineRule="auto"/>
              <w:jc w:val="center"/>
              <w:rPr>
                <w:b/>
              </w:rPr>
            </w:pPr>
            <w:bookmarkStart w:id="21" w:name="_heading=h.32hioqz" w:colFirst="0" w:colLast="0"/>
            <w:bookmarkEnd w:id="21"/>
            <w:r>
              <w:rPr>
                <w:b/>
              </w:rPr>
              <w:t>Comparador</w:t>
            </w:r>
          </w:p>
        </w:tc>
        <w:tc>
          <w:tcPr>
            <w:tcW w:w="3685" w:type="dxa"/>
            <w:shd w:val="clear" w:color="auto" w:fill="auto"/>
            <w:vAlign w:val="center"/>
          </w:tcPr>
          <w:p w14:paraId="4FB5E906" w14:textId="77777777" w:rsidR="008238E6" w:rsidRDefault="00D61AB3">
            <w:pPr>
              <w:spacing w:before="120" w:after="120" w:line="240" w:lineRule="auto"/>
              <w:jc w:val="center"/>
            </w:pPr>
            <w:r>
              <w:t>Não se aplica</w:t>
            </w:r>
          </w:p>
        </w:tc>
        <w:tc>
          <w:tcPr>
            <w:tcW w:w="3705" w:type="dxa"/>
            <w:vAlign w:val="center"/>
          </w:tcPr>
          <w:p w14:paraId="4FB5E907" w14:textId="77777777" w:rsidR="008238E6" w:rsidRDefault="00D61AB3">
            <w:pPr>
              <w:spacing w:before="120" w:after="120" w:line="240" w:lineRule="auto"/>
            </w:pPr>
            <w:r>
              <w:t xml:space="preserve">Diagnóstico clínico a partir de suspeição clínica e probabilidade de diabetes do tipo MODY igual ou maior que 60% na Mody </w:t>
            </w:r>
            <w:r>
              <w:rPr>
                <w:i/>
              </w:rPr>
              <w:t>diabetes calculator</w:t>
            </w:r>
            <w:r>
              <w:t xml:space="preserve">, que considera os seguintes parâmetros: </w:t>
            </w:r>
          </w:p>
          <w:p w14:paraId="4FB5E908" w14:textId="77777777" w:rsidR="008238E6" w:rsidRDefault="00D61AB3">
            <w:pPr>
              <w:numPr>
                <w:ilvl w:val="0"/>
                <w:numId w:val="4"/>
              </w:numPr>
              <w:spacing w:before="120" w:after="0" w:line="240" w:lineRule="auto"/>
              <w:jc w:val="left"/>
            </w:pPr>
            <w:r>
              <w:t xml:space="preserve">Hiperglicemia de início precoce (&lt;25 anos); </w:t>
            </w:r>
          </w:p>
          <w:p w14:paraId="4FB5E909" w14:textId="77777777" w:rsidR="008238E6" w:rsidRDefault="00D61AB3">
            <w:pPr>
              <w:numPr>
                <w:ilvl w:val="0"/>
                <w:numId w:val="4"/>
              </w:numPr>
              <w:spacing w:before="0" w:after="0" w:line="240" w:lineRule="auto"/>
              <w:jc w:val="left"/>
            </w:pPr>
            <w:r>
              <w:t xml:space="preserve"> História familiar de 2 a 3 gerações com DM antes dos 25 anos; </w:t>
            </w:r>
          </w:p>
          <w:p w14:paraId="4FB5E90A" w14:textId="77777777" w:rsidR="008238E6" w:rsidRDefault="00D61AB3">
            <w:pPr>
              <w:numPr>
                <w:ilvl w:val="0"/>
                <w:numId w:val="4"/>
              </w:numPr>
              <w:spacing w:before="0" w:after="0" w:line="240" w:lineRule="auto"/>
              <w:jc w:val="left"/>
            </w:pPr>
            <w:r>
              <w:t xml:space="preserve">Anticorpos anti pancreáticos negativos; </w:t>
            </w:r>
          </w:p>
          <w:p w14:paraId="4FB5E90B" w14:textId="77777777" w:rsidR="008238E6" w:rsidRDefault="00D61AB3">
            <w:pPr>
              <w:numPr>
                <w:ilvl w:val="0"/>
                <w:numId w:val="4"/>
              </w:numPr>
              <w:spacing w:before="0" w:after="120" w:line="240" w:lineRule="auto"/>
              <w:jc w:val="left"/>
            </w:pPr>
            <w:r>
              <w:t>Peptídeo C detectável (&gt;0,6 ng/dL) após cinco anos do diagnóstico de DM.</w:t>
            </w:r>
          </w:p>
        </w:tc>
      </w:tr>
      <w:tr w:rsidR="008238E6" w14:paraId="4FB5E918" w14:textId="77777777" w:rsidTr="002F5F42">
        <w:trPr>
          <w:trHeight w:val="454"/>
          <w:jc w:val="center"/>
        </w:trPr>
        <w:tc>
          <w:tcPr>
            <w:tcW w:w="1702" w:type="dxa"/>
            <w:shd w:val="clear" w:color="auto" w:fill="auto"/>
            <w:vAlign w:val="center"/>
          </w:tcPr>
          <w:p w14:paraId="4FB5E90D" w14:textId="77777777" w:rsidR="008238E6" w:rsidRDefault="00D61AB3">
            <w:pPr>
              <w:spacing w:before="120" w:after="120" w:line="240" w:lineRule="auto"/>
              <w:jc w:val="center"/>
              <w:rPr>
                <w:b/>
              </w:rPr>
            </w:pPr>
            <w:r>
              <w:rPr>
                <w:b/>
              </w:rPr>
              <w:t>Desfechos (</w:t>
            </w:r>
            <w:r>
              <w:rPr>
                <w:b/>
                <w:i/>
              </w:rPr>
              <w:t>outcomes</w:t>
            </w:r>
            <w:r>
              <w:rPr>
                <w:b/>
              </w:rPr>
              <w:t>)</w:t>
            </w:r>
          </w:p>
        </w:tc>
        <w:tc>
          <w:tcPr>
            <w:tcW w:w="3685" w:type="dxa"/>
            <w:shd w:val="clear" w:color="auto" w:fill="auto"/>
            <w:vAlign w:val="center"/>
          </w:tcPr>
          <w:p w14:paraId="4FB5E90E" w14:textId="77777777" w:rsidR="008238E6" w:rsidRDefault="00D61AB3">
            <w:pPr>
              <w:spacing w:before="120" w:after="120" w:line="240" w:lineRule="auto"/>
              <w:jc w:val="left"/>
              <w:rPr>
                <w:u w:val="single"/>
              </w:rPr>
            </w:pPr>
            <w:r>
              <w:rPr>
                <w:u w:val="single"/>
              </w:rPr>
              <w:t>Primários:</w:t>
            </w:r>
          </w:p>
          <w:p w14:paraId="4FB5E90F" w14:textId="77777777" w:rsidR="008238E6" w:rsidRDefault="00D61AB3">
            <w:pPr>
              <w:numPr>
                <w:ilvl w:val="0"/>
                <w:numId w:val="13"/>
              </w:numPr>
              <w:spacing w:before="120" w:after="0" w:line="240" w:lineRule="auto"/>
              <w:jc w:val="left"/>
            </w:pPr>
            <w:r>
              <w:t>Controle glicêmico (hemoglobina glicada e time in range – TIR);</w:t>
            </w:r>
          </w:p>
          <w:p w14:paraId="4FB5E910" w14:textId="77777777" w:rsidR="008238E6" w:rsidRDefault="00D61AB3">
            <w:pPr>
              <w:numPr>
                <w:ilvl w:val="0"/>
                <w:numId w:val="13"/>
              </w:numPr>
              <w:spacing w:before="0" w:after="120" w:line="240" w:lineRule="auto"/>
              <w:jc w:val="left"/>
            </w:pPr>
            <w:r>
              <w:t>Diferença no manejo de paciente;</w:t>
            </w:r>
          </w:p>
          <w:p w14:paraId="4FB5E911" w14:textId="77777777" w:rsidR="008238E6" w:rsidRDefault="00D61AB3">
            <w:pPr>
              <w:spacing w:before="120" w:after="120" w:line="240" w:lineRule="auto"/>
              <w:jc w:val="left"/>
              <w:rPr>
                <w:u w:val="single"/>
              </w:rPr>
            </w:pPr>
            <w:r>
              <w:rPr>
                <w:u w:val="single"/>
              </w:rPr>
              <w:t>Secundários:</w:t>
            </w:r>
          </w:p>
          <w:p w14:paraId="4FB5E912" w14:textId="1315A2A5" w:rsidR="008238E6" w:rsidRDefault="00D61AB3">
            <w:pPr>
              <w:numPr>
                <w:ilvl w:val="0"/>
                <w:numId w:val="6"/>
              </w:numPr>
              <w:spacing w:before="120" w:after="120" w:line="240" w:lineRule="auto"/>
              <w:jc w:val="left"/>
            </w:pPr>
            <w:r>
              <w:t>Complicações crônicas (eventos cardiovasculares, neuropatia, nefropatia, retinopatia)</w:t>
            </w:r>
            <w:r w:rsidR="002F5F42">
              <w:t>.</w:t>
            </w:r>
          </w:p>
        </w:tc>
        <w:tc>
          <w:tcPr>
            <w:tcW w:w="3705" w:type="dxa"/>
            <w:vAlign w:val="center"/>
          </w:tcPr>
          <w:p w14:paraId="4FB5E913" w14:textId="77777777" w:rsidR="008238E6" w:rsidRDefault="00D61AB3">
            <w:pPr>
              <w:spacing w:before="120" w:after="120" w:line="240" w:lineRule="auto"/>
              <w:jc w:val="left"/>
              <w:rPr>
                <w:u w:val="single"/>
              </w:rPr>
            </w:pPr>
            <w:r>
              <w:rPr>
                <w:u w:val="single"/>
              </w:rPr>
              <w:t>Primários:</w:t>
            </w:r>
          </w:p>
          <w:p w14:paraId="4FB5E914" w14:textId="1D7A351E" w:rsidR="008238E6" w:rsidRDefault="00D61AB3">
            <w:pPr>
              <w:numPr>
                <w:ilvl w:val="0"/>
                <w:numId w:val="7"/>
              </w:numPr>
              <w:spacing w:before="120" w:after="0" w:line="240" w:lineRule="auto"/>
              <w:jc w:val="left"/>
            </w:pPr>
            <w:r>
              <w:t>Substituição de insulina por sulfonilureia ou adição de sulfonilureia ao esquema terapêutico;</w:t>
            </w:r>
          </w:p>
          <w:p w14:paraId="4FB5E915" w14:textId="77777777" w:rsidR="008238E6" w:rsidRDefault="00D61AB3">
            <w:pPr>
              <w:numPr>
                <w:ilvl w:val="0"/>
                <w:numId w:val="7"/>
              </w:numPr>
              <w:spacing w:before="0" w:after="0" w:line="240" w:lineRule="auto"/>
              <w:jc w:val="left"/>
            </w:pPr>
            <w:r>
              <w:t>Controle glicêmico;</w:t>
            </w:r>
          </w:p>
          <w:p w14:paraId="4FB5E916" w14:textId="67A4327E" w:rsidR="008238E6" w:rsidRDefault="00D61AB3">
            <w:pPr>
              <w:numPr>
                <w:ilvl w:val="0"/>
                <w:numId w:val="7"/>
              </w:numPr>
              <w:spacing w:before="0" w:after="0" w:line="240" w:lineRule="auto"/>
              <w:jc w:val="left"/>
            </w:pPr>
            <w:r>
              <w:t>Efeitos adversos do tratamento</w:t>
            </w:r>
            <w:r w:rsidR="00896600">
              <w:t>;</w:t>
            </w:r>
          </w:p>
          <w:p w14:paraId="4FB5E917" w14:textId="3775021C" w:rsidR="008238E6" w:rsidRDefault="00D61AB3">
            <w:pPr>
              <w:numPr>
                <w:ilvl w:val="0"/>
                <w:numId w:val="7"/>
              </w:numPr>
              <w:spacing w:before="0" w:after="120" w:line="240" w:lineRule="auto"/>
              <w:jc w:val="left"/>
            </w:pPr>
            <w:r>
              <w:t>Complicações crônicas do diabetes</w:t>
            </w:r>
            <w:r w:rsidR="002F5F42">
              <w:t>.</w:t>
            </w:r>
          </w:p>
        </w:tc>
      </w:tr>
      <w:tr w:rsidR="008238E6" w14:paraId="4FB5E91D" w14:textId="77777777" w:rsidTr="002F5F42">
        <w:trPr>
          <w:trHeight w:val="454"/>
          <w:jc w:val="center"/>
        </w:trPr>
        <w:tc>
          <w:tcPr>
            <w:tcW w:w="1702" w:type="dxa"/>
            <w:shd w:val="clear" w:color="auto" w:fill="auto"/>
            <w:vAlign w:val="center"/>
          </w:tcPr>
          <w:p w14:paraId="4FB5E919" w14:textId="77777777" w:rsidR="008238E6" w:rsidRDefault="00D61AB3">
            <w:pPr>
              <w:spacing w:before="120" w:after="120" w:line="240" w:lineRule="auto"/>
              <w:jc w:val="center"/>
              <w:rPr>
                <w:b/>
              </w:rPr>
            </w:pPr>
            <w:r>
              <w:rPr>
                <w:b/>
              </w:rPr>
              <w:t>Tipo de estudo</w:t>
            </w:r>
          </w:p>
        </w:tc>
        <w:tc>
          <w:tcPr>
            <w:tcW w:w="3685" w:type="dxa"/>
            <w:shd w:val="clear" w:color="auto" w:fill="auto"/>
            <w:vAlign w:val="center"/>
          </w:tcPr>
          <w:p w14:paraId="4FB5E91A" w14:textId="1EDECAF5" w:rsidR="008238E6" w:rsidRDefault="00D61AB3">
            <w:pPr>
              <w:spacing w:before="120" w:after="120" w:line="240" w:lineRule="auto"/>
            </w:pPr>
            <w:r>
              <w:t>Revisão sistemática, Ensaios clínicos randomizados controlados, ensaios clínicos não randomizados, estudos observacionais</w:t>
            </w:r>
            <w:r w:rsidR="002F5F42">
              <w:t>.</w:t>
            </w:r>
          </w:p>
        </w:tc>
        <w:tc>
          <w:tcPr>
            <w:tcW w:w="3705" w:type="dxa"/>
            <w:vAlign w:val="center"/>
          </w:tcPr>
          <w:p w14:paraId="4FB5E91B" w14:textId="77777777" w:rsidR="008238E6" w:rsidRDefault="00D61AB3">
            <w:pPr>
              <w:spacing w:before="120" w:after="120" w:line="240" w:lineRule="auto"/>
            </w:pPr>
            <w:r>
              <w:t xml:space="preserve">Revisões sistemáticas com ou sem meta-análise que incluam ensaios clínicos randomizados (ECR) fase III, Estudos primários: ECRs de fase III. </w:t>
            </w:r>
          </w:p>
          <w:p w14:paraId="4FB5E91C" w14:textId="77777777" w:rsidR="008238E6" w:rsidRDefault="00D61AB3">
            <w:pPr>
              <w:spacing w:before="120" w:after="120" w:line="240" w:lineRule="auto"/>
            </w:pPr>
            <w:r>
              <w:t>Na ausência dos delineamentos citados acima, poderão ser incluídos estudos observacionais de boa qualidade e com seguimento mínimo de um ano.</w:t>
            </w:r>
          </w:p>
        </w:tc>
      </w:tr>
    </w:tbl>
    <w:p w14:paraId="4FB5E91E" w14:textId="77777777" w:rsidR="008238E6" w:rsidRDefault="008238E6">
      <w:pPr>
        <w:rPr>
          <w:smallCaps/>
          <w:highlight w:val="cyan"/>
        </w:rPr>
      </w:pPr>
    </w:p>
    <w:tbl>
      <w:tblPr>
        <w:tblW w:w="914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142"/>
      </w:tblGrid>
      <w:tr w:rsidR="008238E6" w14:paraId="4FB5E920" w14:textId="77777777">
        <w:trPr>
          <w:trHeight w:val="750"/>
        </w:trPr>
        <w:tc>
          <w:tcPr>
            <w:tcW w:w="9142" w:type="dxa"/>
            <w:shd w:val="clear" w:color="auto" w:fill="D9E2F3"/>
            <w:vAlign w:val="center"/>
          </w:tcPr>
          <w:p w14:paraId="4FB5E91F" w14:textId="77777777" w:rsidR="008238E6" w:rsidRDefault="00D61AB3">
            <w:pPr>
              <w:spacing w:before="120" w:after="120" w:line="240" w:lineRule="auto"/>
              <w:jc w:val="center"/>
              <w:rPr>
                <w:b/>
              </w:rPr>
            </w:pPr>
            <w:r>
              <w:rPr>
                <w:b/>
              </w:rPr>
              <w:t>Comentários gerais sobre adequação da pergunta estruturada considerando a definição dos componentes do acrônimo PICO</w:t>
            </w:r>
          </w:p>
        </w:tc>
      </w:tr>
      <w:tr w:rsidR="008238E6" w14:paraId="4FB5E926" w14:textId="77777777">
        <w:trPr>
          <w:trHeight w:val="750"/>
        </w:trPr>
        <w:tc>
          <w:tcPr>
            <w:tcW w:w="9142" w:type="dxa"/>
            <w:vAlign w:val="center"/>
          </w:tcPr>
          <w:p w14:paraId="4FB5E921" w14:textId="77777777" w:rsidR="008238E6" w:rsidRDefault="00D61AB3">
            <w:pPr>
              <w:spacing w:before="120" w:after="120"/>
            </w:pPr>
            <w:r>
              <w:rPr>
                <w:u w:val="single"/>
              </w:rPr>
              <w:t>População</w:t>
            </w:r>
            <w:r>
              <w:t>. A definição da população-alvo proposta pelo PROPONENTE carece de detalhamento. O MODY (</w:t>
            </w:r>
            <w:r>
              <w:rPr>
                <w:i/>
              </w:rPr>
              <w:t>Maturity-Onset Diabetes of the Young</w:t>
            </w:r>
            <w:r>
              <w:t>) é uma forma monogênica de diabetes que frequentemente é subdiagnosticada ou erroneamente classificada como diabetes tipo 1.</w:t>
            </w:r>
          </w:p>
          <w:p w14:paraId="4FB5E922" w14:textId="23D26D0D" w:rsidR="008238E6" w:rsidRDefault="00D61AB3">
            <w:pPr>
              <w:spacing w:before="120" w:after="120"/>
            </w:pPr>
            <w:r>
              <w:rPr>
                <w:u w:val="single"/>
              </w:rPr>
              <w:t>Intervenção</w:t>
            </w:r>
            <w:r>
              <w:t xml:space="preserve">. Adequadamente descrita. </w:t>
            </w:r>
          </w:p>
          <w:p w14:paraId="4FB5E923" w14:textId="69435154" w:rsidR="008238E6" w:rsidRDefault="00D61AB3">
            <w:pPr>
              <w:spacing w:before="120" w:after="120"/>
            </w:pPr>
            <w:r>
              <w:rPr>
                <w:u w:val="single"/>
              </w:rPr>
              <w:t>Comparador</w:t>
            </w:r>
            <w:r>
              <w:t>.  O PROPONENTE não incluiu grupo comparador em sua PICO. Porém, os PARECERISTAS incluíram o comparador como sendo a prática clínica habitual para o diagnóstico de MODY, que geralmente envolve uma combinação de critérios clínicos, história familiar e testes bioquímicos. Atualmente</w:t>
            </w:r>
            <w:r w:rsidR="00203EBE">
              <w:t>,</w:t>
            </w:r>
            <w:r>
              <w:t xml:space="preserve"> esses parâmetros são avaliados com o auxílio de uma ferramenta de predição de probabilidade (MODY </w:t>
            </w:r>
            <w:r w:rsidRPr="0027685D">
              <w:rPr>
                <w:i/>
                <w:iCs/>
              </w:rPr>
              <w:t>Probability Calculator</w:t>
            </w:r>
            <w:r>
              <w:t>)</w:t>
            </w:r>
            <w:r w:rsidR="00C822D9">
              <w:t xml:space="preserve"> </w:t>
            </w:r>
            <w:r>
              <w:t>(Anexo 3) que representa uma ferramenta fácil de usar,</w:t>
            </w:r>
            <w:r w:rsidR="00203EBE">
              <w:t xml:space="preserve"> </w:t>
            </w:r>
            <w:r>
              <w:t xml:space="preserve">desenvolvida pela Universidade de Exeter. Este modelo de predição, validado em estudos anteriores (Shields et al. 2012), fornece uma estimativa quantitativa da probabilidade de um indivíduo ter MODY.  Estes critérios foram escolhidos após consulta com especialistas na área. A calculadora pode ser acessada em: </w:t>
            </w:r>
            <w:hyperlink r:id="rId19">
              <w:r w:rsidR="008238E6">
                <w:rPr>
                  <w:color w:val="1155CC"/>
                  <w:u w:val="single"/>
                </w:rPr>
                <w:t>https://www.diabetesgenes.org/exeter-diabetes-app/ModyCalculator</w:t>
              </w:r>
            </w:hyperlink>
          </w:p>
          <w:p w14:paraId="4FB5E925" w14:textId="5693EAB1" w:rsidR="008238E6" w:rsidRDefault="00D61AB3" w:rsidP="004D704F">
            <w:pPr>
              <w:spacing w:before="120" w:after="120"/>
            </w:pPr>
            <w:r>
              <w:rPr>
                <w:u w:val="single"/>
              </w:rPr>
              <w:t xml:space="preserve">Desfechos. </w:t>
            </w:r>
            <w:r>
              <w:t xml:space="preserve">O demandante incluiu como desfechos o controle glicêmico (hemoglobina glicada e </w:t>
            </w:r>
            <w:r w:rsidRPr="00203EBE">
              <w:rPr>
                <w:i/>
                <w:iCs/>
              </w:rPr>
              <w:t>time in range</w:t>
            </w:r>
            <w:r>
              <w:t xml:space="preserve"> – TIR), diferença no manejo de paciente e complicações crônicas (eventos cardiovasculares, neuropatia, nefropatia, retinopatia). Considerando “diferença no manejo do paciente” uma expressão muito vaga, os desfechos selecionados pelos PARECERISTAS foram a substituição de insulina por sulfonilureia ou a adição de sulfonilureia ao esquema terapêutico, o controle glicêmico, os efeitos adversos do tratamento e as complicações crônicas do diabetes</w:t>
            </w:r>
            <w:r w:rsidR="004D704F">
              <w:t>.</w:t>
            </w:r>
          </w:p>
        </w:tc>
      </w:tr>
    </w:tbl>
    <w:p w14:paraId="4FB5E927" w14:textId="77777777" w:rsidR="008238E6" w:rsidRDefault="008238E6">
      <w:pPr>
        <w:rPr>
          <w:smallCaps/>
          <w:highlight w:val="cyan"/>
        </w:rPr>
      </w:pPr>
    </w:p>
    <w:p w14:paraId="4FB5E928" w14:textId="77777777" w:rsidR="008238E6" w:rsidRDefault="00D61AB3">
      <w:pPr>
        <w:pStyle w:val="Heading2"/>
      </w:pPr>
      <w:bookmarkStart w:id="22" w:name="_heading=h.1hmsyys" w:colFirst="0" w:colLast="0"/>
      <w:bookmarkEnd w:id="22"/>
      <w:r>
        <w:t>5.2. Critérios de elegibilidade</w:t>
      </w:r>
    </w:p>
    <w:p w14:paraId="4FB5E929" w14:textId="77777777" w:rsidR="008238E6" w:rsidRDefault="00D61AB3">
      <w:r>
        <w:t xml:space="preserve">Com base na pergunta PICOS estruturada no item 5.1, o PROPONENTE adotou os critérios de elegibilidade descritos no </w:t>
      </w:r>
      <w:r>
        <w:rPr>
          <w:b/>
        </w:rPr>
        <w:t>Quadro 5</w:t>
      </w:r>
      <w:r>
        <w:t xml:space="preserve">. </w:t>
      </w:r>
    </w:p>
    <w:p w14:paraId="4FB5E92A" w14:textId="77777777" w:rsidR="008238E6" w:rsidRDefault="00D61AB3">
      <w:pPr>
        <w:pStyle w:val="Heading4"/>
      </w:pPr>
      <w:bookmarkStart w:id="23" w:name="_heading=h.igkzz3cs2dpj" w:colFirst="0" w:colLast="0"/>
      <w:bookmarkEnd w:id="23"/>
      <w:r>
        <w:rPr>
          <w:b/>
        </w:rPr>
        <w:t xml:space="preserve">Quadro 5. </w:t>
      </w:r>
      <w:r>
        <w:t>Critérios de elegibilidade (versão do PROPONENTE e do PARECERISTA).</w:t>
      </w:r>
    </w:p>
    <w:tbl>
      <w:tblPr>
        <w:tblStyle w:val="afffff2"/>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2"/>
        <w:gridCol w:w="3685"/>
        <w:gridCol w:w="4085"/>
      </w:tblGrid>
      <w:tr w:rsidR="008238E6" w14:paraId="4FB5E92E" w14:textId="77777777">
        <w:trPr>
          <w:trHeight w:val="454"/>
          <w:jc w:val="center"/>
        </w:trPr>
        <w:tc>
          <w:tcPr>
            <w:tcW w:w="1302" w:type="dxa"/>
            <w:shd w:val="clear" w:color="auto" w:fill="D9E2F3"/>
          </w:tcPr>
          <w:p w14:paraId="4FB5E92B" w14:textId="77777777" w:rsidR="008238E6" w:rsidRDefault="00D61AB3">
            <w:pPr>
              <w:tabs>
                <w:tab w:val="left" w:pos="2694"/>
              </w:tabs>
              <w:spacing w:before="120" w:after="120"/>
              <w:jc w:val="center"/>
              <w:rPr>
                <w:b/>
              </w:rPr>
            </w:pPr>
            <w:r>
              <w:rPr>
                <w:b/>
              </w:rPr>
              <w:t>Critérios</w:t>
            </w:r>
          </w:p>
        </w:tc>
        <w:tc>
          <w:tcPr>
            <w:tcW w:w="3685" w:type="dxa"/>
            <w:shd w:val="clear" w:color="auto" w:fill="D9E2F3"/>
          </w:tcPr>
          <w:p w14:paraId="4FB5E92C" w14:textId="77777777" w:rsidR="008238E6" w:rsidRDefault="00D61AB3">
            <w:pPr>
              <w:tabs>
                <w:tab w:val="left" w:pos="2694"/>
              </w:tabs>
              <w:spacing w:before="120" w:after="120"/>
              <w:jc w:val="center"/>
              <w:rPr>
                <w:b/>
              </w:rPr>
            </w:pPr>
            <w:r>
              <w:rPr>
                <w:b/>
              </w:rPr>
              <w:t>Proponente</w:t>
            </w:r>
          </w:p>
        </w:tc>
        <w:tc>
          <w:tcPr>
            <w:tcW w:w="4085" w:type="dxa"/>
            <w:shd w:val="clear" w:color="auto" w:fill="D9E2F3"/>
          </w:tcPr>
          <w:p w14:paraId="4FB5E92D" w14:textId="77777777" w:rsidR="008238E6" w:rsidRDefault="00D61AB3">
            <w:pPr>
              <w:tabs>
                <w:tab w:val="left" w:pos="2694"/>
              </w:tabs>
              <w:spacing w:before="120" w:after="120"/>
              <w:jc w:val="center"/>
              <w:rPr>
                <w:b/>
              </w:rPr>
            </w:pPr>
            <w:r>
              <w:rPr>
                <w:b/>
              </w:rPr>
              <w:t>Parecerista</w:t>
            </w:r>
          </w:p>
        </w:tc>
      </w:tr>
      <w:tr w:rsidR="008238E6" w14:paraId="4FB5E932" w14:textId="77777777">
        <w:trPr>
          <w:trHeight w:val="454"/>
          <w:jc w:val="center"/>
        </w:trPr>
        <w:tc>
          <w:tcPr>
            <w:tcW w:w="1302" w:type="dxa"/>
            <w:shd w:val="clear" w:color="auto" w:fill="auto"/>
          </w:tcPr>
          <w:p w14:paraId="4FB5E92F" w14:textId="77777777" w:rsidR="008238E6" w:rsidRDefault="00D61AB3">
            <w:pPr>
              <w:tabs>
                <w:tab w:val="left" w:pos="2694"/>
              </w:tabs>
              <w:spacing w:before="120" w:after="120"/>
              <w:jc w:val="center"/>
              <w:rPr>
                <w:b/>
              </w:rPr>
            </w:pPr>
            <w:r>
              <w:rPr>
                <w:b/>
              </w:rPr>
              <w:t>Inclusão (PICOS)</w:t>
            </w:r>
          </w:p>
        </w:tc>
        <w:tc>
          <w:tcPr>
            <w:tcW w:w="3685" w:type="dxa"/>
            <w:shd w:val="clear" w:color="auto" w:fill="auto"/>
          </w:tcPr>
          <w:p w14:paraId="4FB5E930" w14:textId="77777777" w:rsidR="008238E6" w:rsidRDefault="00D61AB3">
            <w:pPr>
              <w:tabs>
                <w:tab w:val="left" w:pos="2694"/>
              </w:tabs>
              <w:spacing w:before="120" w:after="120"/>
            </w:pPr>
            <w:r>
              <w:t>Foram considerados para inclusão nesta RSL indivíduos diagnosticados com diabetes tipo MODY por meio de teste genético, revisões sistemáticas com e sem meta-análise, ensaios clínicos randomizados controlados e não controlados, estudos observacionais.</w:t>
            </w:r>
          </w:p>
        </w:tc>
        <w:tc>
          <w:tcPr>
            <w:tcW w:w="4085" w:type="dxa"/>
            <w:vAlign w:val="center"/>
          </w:tcPr>
          <w:p w14:paraId="4FB5E931" w14:textId="77777777" w:rsidR="008238E6" w:rsidRDefault="00D61AB3">
            <w:pPr>
              <w:tabs>
                <w:tab w:val="left" w:pos="2694"/>
              </w:tabs>
              <w:spacing w:before="120" w:after="120"/>
            </w:pPr>
            <w:r>
              <w:t xml:space="preserve">Foram incluídas as publicações que satisfizeram a pergunta PICOS pormenorizada. </w:t>
            </w:r>
          </w:p>
        </w:tc>
      </w:tr>
      <w:tr w:rsidR="008238E6" w14:paraId="4FB5E936" w14:textId="77777777">
        <w:trPr>
          <w:trHeight w:val="454"/>
          <w:jc w:val="center"/>
        </w:trPr>
        <w:tc>
          <w:tcPr>
            <w:tcW w:w="1302" w:type="dxa"/>
            <w:shd w:val="clear" w:color="auto" w:fill="auto"/>
          </w:tcPr>
          <w:p w14:paraId="4FB5E933" w14:textId="77777777" w:rsidR="008238E6" w:rsidRDefault="00D61AB3">
            <w:pPr>
              <w:tabs>
                <w:tab w:val="left" w:pos="2694"/>
              </w:tabs>
              <w:spacing w:before="120" w:after="120"/>
              <w:jc w:val="center"/>
              <w:rPr>
                <w:b/>
              </w:rPr>
            </w:pPr>
            <w:r>
              <w:rPr>
                <w:b/>
              </w:rPr>
              <w:t>Exclusão (PICOS)</w:t>
            </w:r>
          </w:p>
        </w:tc>
        <w:tc>
          <w:tcPr>
            <w:tcW w:w="3685" w:type="dxa"/>
            <w:shd w:val="clear" w:color="auto" w:fill="auto"/>
          </w:tcPr>
          <w:p w14:paraId="4FB5E934" w14:textId="77777777" w:rsidR="008238E6" w:rsidRDefault="00D61AB3">
            <w:pPr>
              <w:tabs>
                <w:tab w:val="left" w:pos="2694"/>
              </w:tabs>
              <w:spacing w:before="120" w:after="120"/>
            </w:pPr>
            <w:r>
              <w:t>Estudos que não demonstram os desfechos de interesse; estudos em outras línguas não citadas nos critérios de inclusão, estudos em animais, gestantes, artigos de opinião e/ou comentários, protocolos de pesquisa e/ou estudos piloto com ausência de resultados, resumos de congressos e/ou conferências; estudos com indisponibilidade de leitura do artigo completo.</w:t>
            </w:r>
          </w:p>
        </w:tc>
        <w:tc>
          <w:tcPr>
            <w:tcW w:w="4085" w:type="dxa"/>
            <w:vAlign w:val="center"/>
          </w:tcPr>
          <w:p w14:paraId="4FB5E935" w14:textId="77777777" w:rsidR="008238E6" w:rsidRDefault="00D61AB3">
            <w:pPr>
              <w:tabs>
                <w:tab w:val="left" w:pos="2694"/>
              </w:tabs>
              <w:spacing w:before="120" w:after="120"/>
              <w:jc w:val="center"/>
            </w:pPr>
            <w:r>
              <w:t>Idem</w:t>
            </w:r>
          </w:p>
        </w:tc>
      </w:tr>
      <w:tr w:rsidR="008238E6" w14:paraId="4FB5E93A" w14:textId="77777777">
        <w:trPr>
          <w:trHeight w:val="454"/>
          <w:jc w:val="center"/>
        </w:trPr>
        <w:tc>
          <w:tcPr>
            <w:tcW w:w="1302" w:type="dxa"/>
            <w:shd w:val="clear" w:color="auto" w:fill="auto"/>
          </w:tcPr>
          <w:p w14:paraId="4FB5E937" w14:textId="77777777" w:rsidR="008238E6" w:rsidRDefault="00D61AB3">
            <w:pPr>
              <w:tabs>
                <w:tab w:val="left" w:pos="2694"/>
              </w:tabs>
              <w:spacing w:before="120" w:after="120"/>
              <w:jc w:val="center"/>
              <w:rPr>
                <w:b/>
              </w:rPr>
            </w:pPr>
            <w:r>
              <w:rPr>
                <w:b/>
              </w:rPr>
              <w:t>Outros critérios</w:t>
            </w:r>
          </w:p>
        </w:tc>
        <w:tc>
          <w:tcPr>
            <w:tcW w:w="3685" w:type="dxa"/>
            <w:shd w:val="clear" w:color="auto" w:fill="auto"/>
          </w:tcPr>
          <w:p w14:paraId="4FB5E938" w14:textId="77777777" w:rsidR="008238E6" w:rsidRDefault="00D61AB3">
            <w:pPr>
              <w:tabs>
                <w:tab w:val="left" w:pos="2694"/>
              </w:tabs>
              <w:spacing w:before="120" w:after="120"/>
            </w:pPr>
            <w:r>
              <w:t>Publicações completas em inglês, francês, italiano, português e espanhol.</w:t>
            </w:r>
          </w:p>
        </w:tc>
        <w:tc>
          <w:tcPr>
            <w:tcW w:w="4085" w:type="dxa"/>
          </w:tcPr>
          <w:p w14:paraId="4FB5E939" w14:textId="77777777" w:rsidR="008238E6" w:rsidRDefault="00D61AB3">
            <w:pPr>
              <w:tabs>
                <w:tab w:val="left" w:pos="2694"/>
              </w:tabs>
              <w:spacing w:before="120" w:after="120"/>
            </w:pPr>
            <w:r>
              <w:t>Foram excluídos artigos em outros idiomas além do inglês, português e espanhol.</w:t>
            </w:r>
          </w:p>
        </w:tc>
      </w:tr>
    </w:tbl>
    <w:p w14:paraId="4FB5E93B" w14:textId="77777777" w:rsidR="008238E6" w:rsidRDefault="008238E6">
      <w:pPr>
        <w:rPr>
          <w:smallCaps/>
          <w:highlight w:val="cyan"/>
        </w:rPr>
      </w:pPr>
      <w:bookmarkStart w:id="24" w:name="_heading=h.41mghml" w:colFirst="0" w:colLast="0"/>
      <w:bookmarkEnd w:id="24"/>
    </w:p>
    <w:tbl>
      <w:tblPr>
        <w:tblStyle w:val="afffff3"/>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93D" w14:textId="77777777">
        <w:trPr>
          <w:trHeight w:val="416"/>
        </w:trPr>
        <w:tc>
          <w:tcPr>
            <w:tcW w:w="9072" w:type="dxa"/>
            <w:shd w:val="clear" w:color="auto" w:fill="D9E2F3"/>
            <w:vAlign w:val="center"/>
          </w:tcPr>
          <w:p w14:paraId="4FB5E93C" w14:textId="77777777" w:rsidR="008238E6" w:rsidRDefault="00D61AB3">
            <w:pPr>
              <w:tabs>
                <w:tab w:val="left" w:pos="2694"/>
              </w:tabs>
              <w:spacing w:before="120" w:after="120"/>
              <w:jc w:val="center"/>
              <w:rPr>
                <w:b/>
              </w:rPr>
            </w:pPr>
            <w:r>
              <w:rPr>
                <w:b/>
              </w:rPr>
              <w:t>Comentários gerais sobre os critérios de elegibilidade</w:t>
            </w:r>
          </w:p>
        </w:tc>
      </w:tr>
      <w:tr w:rsidR="008238E6" w14:paraId="4FB5E93F" w14:textId="77777777">
        <w:trPr>
          <w:trHeight w:val="750"/>
        </w:trPr>
        <w:tc>
          <w:tcPr>
            <w:tcW w:w="9072" w:type="dxa"/>
            <w:vAlign w:val="center"/>
          </w:tcPr>
          <w:p w14:paraId="4FB5E93E" w14:textId="77777777" w:rsidR="008238E6" w:rsidRDefault="00D61AB3">
            <w:pPr>
              <w:tabs>
                <w:tab w:val="left" w:pos="2694"/>
              </w:tabs>
              <w:spacing w:before="120" w:after="120"/>
              <w:jc w:val="center"/>
            </w:pPr>
            <w:r>
              <w:t>Nenhum comentário adicional.</w:t>
            </w:r>
          </w:p>
        </w:tc>
      </w:tr>
    </w:tbl>
    <w:p w14:paraId="4FB5E940" w14:textId="77777777" w:rsidR="008238E6" w:rsidRDefault="008238E6">
      <w:pPr>
        <w:rPr>
          <w:smallCaps/>
          <w:highlight w:val="cyan"/>
        </w:rPr>
      </w:pPr>
    </w:p>
    <w:p w14:paraId="4FB5E941" w14:textId="77777777" w:rsidR="008238E6" w:rsidRDefault="00D61AB3">
      <w:pPr>
        <w:pStyle w:val="Heading2"/>
      </w:pPr>
      <w:bookmarkStart w:id="25" w:name="_heading=h.2grqrue" w:colFirst="0" w:colLast="0"/>
      <w:bookmarkEnd w:id="25"/>
      <w:r>
        <w:t>5.3. Busca por evidências</w:t>
      </w:r>
    </w:p>
    <w:p w14:paraId="4FB5E942" w14:textId="77777777" w:rsidR="008238E6" w:rsidRDefault="00D61AB3">
      <w:pPr>
        <w:pStyle w:val="Heading4"/>
      </w:pPr>
      <w:bookmarkStart w:id="26" w:name="_heading=h.3ey4zxhab429" w:colFirst="0" w:colLast="0"/>
      <w:bookmarkEnd w:id="26"/>
      <w:r>
        <w:rPr>
          <w:b/>
        </w:rPr>
        <w:t>Quadro 6.</w:t>
      </w:r>
      <w:r>
        <w:t xml:space="preserve"> Estratégias de busca em bases eletrônicas (versão do PROPONENTE e do PARECERISTA).</w:t>
      </w:r>
    </w:p>
    <w:tbl>
      <w:tblPr>
        <w:tblStyle w:val="afffff4"/>
        <w:tblW w:w="907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5386"/>
        <w:gridCol w:w="2126"/>
      </w:tblGrid>
      <w:tr w:rsidR="008238E6" w14:paraId="4FB5E946" w14:textId="77777777">
        <w:trPr>
          <w:trHeight w:val="454"/>
        </w:trPr>
        <w:tc>
          <w:tcPr>
            <w:tcW w:w="1560" w:type="dxa"/>
            <w:shd w:val="clear" w:color="auto" w:fill="D9E2F3"/>
          </w:tcPr>
          <w:p w14:paraId="4FB5E943" w14:textId="77777777" w:rsidR="008238E6" w:rsidRDefault="00D61AB3">
            <w:pPr>
              <w:spacing w:before="120" w:after="120"/>
              <w:jc w:val="center"/>
              <w:rPr>
                <w:b/>
              </w:rPr>
            </w:pPr>
            <w:r>
              <w:rPr>
                <w:b/>
              </w:rPr>
              <w:t>Base de dados</w:t>
            </w:r>
          </w:p>
        </w:tc>
        <w:tc>
          <w:tcPr>
            <w:tcW w:w="5386" w:type="dxa"/>
            <w:shd w:val="clear" w:color="auto" w:fill="D9E2F3"/>
          </w:tcPr>
          <w:p w14:paraId="4FB5E944" w14:textId="77777777" w:rsidR="008238E6" w:rsidRDefault="00D61AB3">
            <w:pPr>
              <w:spacing w:before="120" w:after="120"/>
              <w:jc w:val="center"/>
              <w:rPr>
                <w:b/>
              </w:rPr>
            </w:pPr>
            <w:r>
              <w:rPr>
                <w:b/>
              </w:rPr>
              <w:t>Estratégia</w:t>
            </w:r>
          </w:p>
        </w:tc>
        <w:tc>
          <w:tcPr>
            <w:tcW w:w="2126" w:type="dxa"/>
            <w:shd w:val="clear" w:color="auto" w:fill="D9E2F3"/>
          </w:tcPr>
          <w:p w14:paraId="4FB5E945" w14:textId="77777777" w:rsidR="008238E6" w:rsidRDefault="00D61AB3">
            <w:pPr>
              <w:spacing w:before="120" w:after="120"/>
              <w:jc w:val="center"/>
              <w:rPr>
                <w:b/>
              </w:rPr>
            </w:pPr>
            <w:r>
              <w:rPr>
                <w:b/>
              </w:rPr>
              <w:t>Resultados</w:t>
            </w:r>
          </w:p>
        </w:tc>
      </w:tr>
      <w:tr w:rsidR="008238E6" w14:paraId="4FB5E94A" w14:textId="77777777">
        <w:trPr>
          <w:trHeight w:val="454"/>
        </w:trPr>
        <w:tc>
          <w:tcPr>
            <w:tcW w:w="1560" w:type="dxa"/>
            <w:vMerge w:val="restart"/>
            <w:shd w:val="clear" w:color="auto" w:fill="auto"/>
          </w:tcPr>
          <w:p w14:paraId="4FB5E947" w14:textId="77777777" w:rsidR="008238E6" w:rsidRDefault="00D61AB3">
            <w:pPr>
              <w:spacing w:before="120" w:after="120"/>
              <w:jc w:val="center"/>
              <w:rPr>
                <w:b/>
              </w:rPr>
            </w:pPr>
            <w:r>
              <w:rPr>
                <w:b/>
              </w:rPr>
              <w:t>MEDLINE</w:t>
            </w:r>
          </w:p>
        </w:tc>
        <w:tc>
          <w:tcPr>
            <w:tcW w:w="5386" w:type="dxa"/>
            <w:shd w:val="clear" w:color="auto" w:fill="auto"/>
          </w:tcPr>
          <w:p w14:paraId="4FB5E948" w14:textId="77777777" w:rsidR="008238E6" w:rsidRDefault="00D61AB3">
            <w:pPr>
              <w:spacing w:before="120" w:after="120"/>
              <w:jc w:val="center"/>
              <w:rPr>
                <w:b/>
              </w:rPr>
            </w:pPr>
            <w:r>
              <w:rPr>
                <w:b/>
              </w:rPr>
              <w:t>Proponente</w:t>
            </w:r>
          </w:p>
        </w:tc>
        <w:tc>
          <w:tcPr>
            <w:tcW w:w="2126" w:type="dxa"/>
            <w:vMerge w:val="restart"/>
            <w:vAlign w:val="center"/>
          </w:tcPr>
          <w:p w14:paraId="4FB5E949" w14:textId="77777777" w:rsidR="008238E6" w:rsidRDefault="00D61AB3">
            <w:pPr>
              <w:spacing w:before="120" w:after="120"/>
              <w:jc w:val="center"/>
            </w:pPr>
            <w:r>
              <w:t xml:space="preserve">871 [30/08/2022] </w:t>
            </w:r>
          </w:p>
        </w:tc>
      </w:tr>
      <w:tr w:rsidR="008238E6" w14:paraId="4FB5E94E" w14:textId="77777777">
        <w:trPr>
          <w:trHeight w:val="454"/>
        </w:trPr>
        <w:tc>
          <w:tcPr>
            <w:tcW w:w="1560" w:type="dxa"/>
            <w:vMerge/>
            <w:shd w:val="clear" w:color="auto" w:fill="auto"/>
          </w:tcPr>
          <w:p w14:paraId="4FB5E94B"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4C" w14:textId="77777777" w:rsidR="008238E6" w:rsidRDefault="00D61AB3">
            <w:pPr>
              <w:spacing w:before="120" w:after="120"/>
            </w:pPr>
            <w:r>
              <w:t>(((((((((((Maturity Onset Diabetes Mellitus[Title/Abstract]) OR (MODY[Title/Abstract])) OR (Maturity-Onset Diabetes[Title/Abstract])) OR (Diabetes, Maturity-Onset[Title/Abstract])) OR (Diabetes Mellitus, Adult-Onset[Title/Abstract])) OR (Adult-Onset Diabetes Mellitus[Title/Abstract])) OR (Diabetes Mellitus, Adult Onset[Title/Abstract])) OR (Diabetes Mellitus, Maturity Onset[Title/Abstract])) OR (Diabetes Mellitus, Maturity-Onset[Title/Abstract])) AND (((((((HNF1α) OR (HNF4α)) OR (glucokinase)) OR (genetic test)) OR (genetic testing)) OR (genetic testing)) OR ("Genetic Testing"[Mesh]))) AND ((((((((("Diagnosis"[Mesh]) OR (diagnostic)) OR (diagnosis)) OR (diagnosed)) OR (screening)) OR (screened)) OR (testing)) OR (diagnostic testing)) OR (determination))) AND (diabetes[Title/Abstract]) Filters applied: Title and Abstract</w:t>
            </w:r>
          </w:p>
        </w:tc>
        <w:tc>
          <w:tcPr>
            <w:tcW w:w="2126" w:type="dxa"/>
            <w:vMerge/>
            <w:vAlign w:val="center"/>
          </w:tcPr>
          <w:p w14:paraId="4FB5E94D" w14:textId="77777777" w:rsidR="008238E6" w:rsidRDefault="008238E6">
            <w:pPr>
              <w:widowControl w:val="0"/>
              <w:pBdr>
                <w:top w:val="nil"/>
                <w:left w:val="nil"/>
                <w:bottom w:val="nil"/>
                <w:right w:val="nil"/>
                <w:between w:val="nil"/>
              </w:pBdr>
              <w:spacing w:before="0" w:line="276" w:lineRule="auto"/>
              <w:jc w:val="left"/>
            </w:pPr>
          </w:p>
        </w:tc>
      </w:tr>
      <w:tr w:rsidR="008238E6" w14:paraId="4FB5E952" w14:textId="77777777">
        <w:trPr>
          <w:trHeight w:val="454"/>
        </w:trPr>
        <w:tc>
          <w:tcPr>
            <w:tcW w:w="1560" w:type="dxa"/>
            <w:vMerge/>
            <w:shd w:val="clear" w:color="auto" w:fill="auto"/>
          </w:tcPr>
          <w:p w14:paraId="4FB5E94F"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50" w14:textId="77777777" w:rsidR="008238E6" w:rsidRDefault="00D61AB3">
            <w:pPr>
              <w:spacing w:before="120" w:after="120"/>
              <w:jc w:val="center"/>
              <w:rPr>
                <w:b/>
              </w:rPr>
            </w:pPr>
            <w:r>
              <w:rPr>
                <w:b/>
              </w:rPr>
              <w:t>Parecerista</w:t>
            </w:r>
          </w:p>
        </w:tc>
        <w:tc>
          <w:tcPr>
            <w:tcW w:w="2126" w:type="dxa"/>
            <w:vMerge w:val="restart"/>
            <w:vAlign w:val="center"/>
          </w:tcPr>
          <w:p w14:paraId="4FB5E951" w14:textId="77777777" w:rsidR="008238E6" w:rsidRDefault="00D61AB3">
            <w:pPr>
              <w:spacing w:before="120" w:after="120"/>
              <w:jc w:val="center"/>
            </w:pPr>
            <w:r>
              <w:t>828  [02/08/2024]</w:t>
            </w:r>
          </w:p>
        </w:tc>
      </w:tr>
      <w:tr w:rsidR="008238E6" w14:paraId="4FB5E958" w14:textId="77777777">
        <w:trPr>
          <w:trHeight w:val="454"/>
        </w:trPr>
        <w:tc>
          <w:tcPr>
            <w:tcW w:w="1560" w:type="dxa"/>
            <w:vMerge/>
            <w:shd w:val="clear" w:color="auto" w:fill="auto"/>
          </w:tcPr>
          <w:p w14:paraId="4FB5E953"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54" w14:textId="77777777" w:rsidR="008238E6" w:rsidRDefault="00D61AB3">
            <w:pPr>
              <w:spacing w:before="120" w:after="120"/>
              <w:rPr>
                <w:b/>
              </w:rPr>
            </w:pPr>
            <w:r>
              <w:t>"diabetes mellitus, type 2"[MeSH Terms] OR "type 2 diabetes mellitus"[All Fields] OR "mody"[All Fields] OR "Maturity-Onset Diabetes of the Young"[All Fields] OR "Monogenic Diabetes"[All Fields] OR "maturity onset diabetes"[All Fields] OR "diabetes maturity onset"[All Fields] OR "maturity onset diabetes"[All Fields])</w:t>
            </w:r>
            <w:r>
              <w:rPr>
                <w:b/>
              </w:rPr>
              <w:t xml:space="preserve"> </w:t>
            </w:r>
          </w:p>
          <w:p w14:paraId="4FB5E955" w14:textId="77777777" w:rsidR="008238E6" w:rsidRDefault="00D61AB3">
            <w:pPr>
              <w:spacing w:before="120" w:after="120"/>
              <w:jc w:val="center"/>
              <w:rPr>
                <w:b/>
              </w:rPr>
            </w:pPr>
            <w:r>
              <w:rPr>
                <w:b/>
              </w:rPr>
              <w:t>AND</w:t>
            </w:r>
          </w:p>
          <w:p w14:paraId="4FB5E956" w14:textId="77777777" w:rsidR="008238E6" w:rsidRDefault="00D61AB3">
            <w:pPr>
              <w:spacing w:before="120" w:after="120"/>
            </w:pPr>
            <w:r>
              <w:t xml:space="preserve"> ("Genetic Testing"[MeSH Terms] OR "Genetic Test"[All Fields] OR "DNA Test"[All Fields] OR "Molecular Diagnostic Techniques"[MeSH Terms] OR "Gene Sequencing"[All Fields] OR "Mutation Analysis"[All Fields]</w:t>
            </w:r>
          </w:p>
        </w:tc>
        <w:tc>
          <w:tcPr>
            <w:tcW w:w="2126" w:type="dxa"/>
            <w:vMerge/>
            <w:vAlign w:val="center"/>
          </w:tcPr>
          <w:p w14:paraId="4FB5E957" w14:textId="77777777" w:rsidR="008238E6" w:rsidRDefault="008238E6">
            <w:pPr>
              <w:widowControl w:val="0"/>
              <w:pBdr>
                <w:top w:val="nil"/>
                <w:left w:val="nil"/>
                <w:bottom w:val="nil"/>
                <w:right w:val="nil"/>
                <w:between w:val="nil"/>
              </w:pBdr>
              <w:spacing w:before="0" w:line="276" w:lineRule="auto"/>
              <w:jc w:val="left"/>
            </w:pPr>
          </w:p>
        </w:tc>
      </w:tr>
      <w:tr w:rsidR="008238E6" w14:paraId="4FB5E95E" w14:textId="77777777">
        <w:trPr>
          <w:trHeight w:val="454"/>
        </w:trPr>
        <w:tc>
          <w:tcPr>
            <w:tcW w:w="1560" w:type="dxa"/>
            <w:vMerge w:val="restart"/>
          </w:tcPr>
          <w:p w14:paraId="4FB5E959" w14:textId="77777777" w:rsidR="008238E6" w:rsidRDefault="00D61AB3">
            <w:pPr>
              <w:spacing w:before="120" w:after="120"/>
              <w:jc w:val="center"/>
              <w:rPr>
                <w:b/>
              </w:rPr>
            </w:pPr>
            <w:r>
              <w:rPr>
                <w:b/>
              </w:rPr>
              <w:t>LILACS/BVS</w:t>
            </w:r>
          </w:p>
        </w:tc>
        <w:tc>
          <w:tcPr>
            <w:tcW w:w="5386" w:type="dxa"/>
            <w:shd w:val="clear" w:color="auto" w:fill="auto"/>
          </w:tcPr>
          <w:p w14:paraId="4FB5E95A" w14:textId="77777777" w:rsidR="008238E6" w:rsidRDefault="00D61AB3">
            <w:pPr>
              <w:spacing w:before="120" w:after="120"/>
              <w:jc w:val="center"/>
              <w:rPr>
                <w:b/>
              </w:rPr>
            </w:pPr>
            <w:r>
              <w:rPr>
                <w:b/>
              </w:rPr>
              <w:t>Proponente</w:t>
            </w:r>
          </w:p>
        </w:tc>
        <w:tc>
          <w:tcPr>
            <w:tcW w:w="2126" w:type="dxa"/>
            <w:vMerge w:val="restart"/>
            <w:vAlign w:val="center"/>
          </w:tcPr>
          <w:p w14:paraId="4FB5E95B" w14:textId="77777777" w:rsidR="008238E6" w:rsidRDefault="00D61AB3">
            <w:pPr>
              <w:spacing w:before="120" w:after="120"/>
              <w:jc w:val="center"/>
            </w:pPr>
            <w:r>
              <w:t xml:space="preserve"> [30/08/2022]</w:t>
            </w:r>
          </w:p>
          <w:p w14:paraId="4FB5E95C" w14:textId="77777777" w:rsidR="008238E6" w:rsidRDefault="00D61AB3">
            <w:pPr>
              <w:spacing w:before="120" w:after="120"/>
              <w:jc w:val="center"/>
            </w:pPr>
            <w:r>
              <w:t>LILACS: 37</w:t>
            </w:r>
          </w:p>
          <w:p w14:paraId="4FB5E95D" w14:textId="77777777" w:rsidR="008238E6" w:rsidRDefault="00D61AB3">
            <w:pPr>
              <w:spacing w:before="120" w:after="120"/>
              <w:jc w:val="center"/>
            </w:pPr>
            <w:r>
              <w:t>BVS: 182</w:t>
            </w:r>
          </w:p>
        </w:tc>
      </w:tr>
      <w:tr w:rsidR="008238E6" w14:paraId="4FB5E963" w14:textId="77777777">
        <w:trPr>
          <w:trHeight w:val="454"/>
        </w:trPr>
        <w:tc>
          <w:tcPr>
            <w:tcW w:w="1560" w:type="dxa"/>
            <w:vMerge/>
          </w:tcPr>
          <w:p w14:paraId="4FB5E95F"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60" w14:textId="77777777" w:rsidR="008238E6" w:rsidRDefault="00D61AB3">
            <w:pPr>
              <w:spacing w:before="120" w:after="120"/>
            </w:pPr>
            <w:r>
              <w:t>(MODY OR Maturity Onset Diabetes Mellitus OR Maturity-Onset Diabetes Mellitus OR Diabetes Mellitus, Maturity Onset OR Diabetes Mellitus, Maturity-Onset OR Maturity-Onset Diabetes OR Diabetes, Maturity-Onset OR Maturity Onset Diabetes) AND (HNF1α OR HNF4α OR glucokinase OR genetic test OR genetic testing OR genetic testing)</w:t>
            </w:r>
          </w:p>
          <w:p w14:paraId="4FB5E961" w14:textId="77777777" w:rsidR="008238E6" w:rsidRDefault="00D61AB3">
            <w:pPr>
              <w:spacing w:before="120" w:after="120"/>
              <w:jc w:val="center"/>
            </w:pPr>
            <w:r>
              <w:t>Filters applied: title, abstract, subject</w:t>
            </w:r>
          </w:p>
        </w:tc>
        <w:tc>
          <w:tcPr>
            <w:tcW w:w="2126" w:type="dxa"/>
            <w:vMerge/>
            <w:vAlign w:val="center"/>
          </w:tcPr>
          <w:p w14:paraId="4FB5E962" w14:textId="77777777" w:rsidR="008238E6" w:rsidRDefault="008238E6">
            <w:pPr>
              <w:widowControl w:val="0"/>
              <w:pBdr>
                <w:top w:val="nil"/>
                <w:left w:val="nil"/>
                <w:bottom w:val="nil"/>
                <w:right w:val="nil"/>
                <w:between w:val="nil"/>
              </w:pBdr>
              <w:spacing w:before="0" w:line="276" w:lineRule="auto"/>
              <w:jc w:val="left"/>
            </w:pPr>
          </w:p>
        </w:tc>
      </w:tr>
      <w:tr w:rsidR="008238E6" w14:paraId="4FB5E96D" w14:textId="77777777">
        <w:trPr>
          <w:trHeight w:val="454"/>
        </w:trPr>
        <w:tc>
          <w:tcPr>
            <w:tcW w:w="1560" w:type="dxa"/>
            <w:vMerge/>
          </w:tcPr>
          <w:p w14:paraId="4FB5E964"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65" w14:textId="77777777" w:rsidR="008238E6" w:rsidRDefault="00D61AB3">
            <w:pPr>
              <w:spacing w:before="120" w:after="120"/>
              <w:jc w:val="center"/>
              <w:rPr>
                <w:b/>
              </w:rPr>
            </w:pPr>
            <w:r>
              <w:rPr>
                <w:b/>
              </w:rPr>
              <w:t>Parecerista</w:t>
            </w:r>
          </w:p>
        </w:tc>
        <w:tc>
          <w:tcPr>
            <w:tcW w:w="2126" w:type="dxa"/>
            <w:vMerge w:val="restart"/>
            <w:vAlign w:val="center"/>
          </w:tcPr>
          <w:p w14:paraId="4FB5E966" w14:textId="77777777" w:rsidR="008238E6" w:rsidRDefault="00D61AB3">
            <w:pPr>
              <w:spacing w:before="120" w:after="120"/>
              <w:jc w:val="center"/>
            </w:pPr>
            <w:r>
              <w:t>28 [09/08/2024]</w:t>
            </w:r>
          </w:p>
          <w:p w14:paraId="4FB5E967" w14:textId="77777777" w:rsidR="008238E6" w:rsidRDefault="00D61AB3">
            <w:pPr>
              <w:spacing w:before="120" w:after="120"/>
              <w:jc w:val="center"/>
            </w:pPr>
            <w:r>
              <w:t>WPRIM (Pacífico Ocidental) (20)</w:t>
            </w:r>
          </w:p>
          <w:p w14:paraId="4FB5E968" w14:textId="77777777" w:rsidR="008238E6" w:rsidRDefault="00D61AB3">
            <w:pPr>
              <w:spacing w:before="120" w:after="120"/>
              <w:jc w:val="center"/>
            </w:pPr>
            <w:r>
              <w:t>LILACS (5)</w:t>
            </w:r>
          </w:p>
          <w:p w14:paraId="4FB5E969" w14:textId="77777777" w:rsidR="008238E6" w:rsidRDefault="00D61AB3">
            <w:pPr>
              <w:spacing w:before="120" w:after="120"/>
              <w:jc w:val="center"/>
            </w:pPr>
            <w:r>
              <w:t>IBECS (2)</w:t>
            </w:r>
          </w:p>
          <w:p w14:paraId="4FB5E96A" w14:textId="77777777" w:rsidR="008238E6" w:rsidRDefault="00D61AB3">
            <w:pPr>
              <w:spacing w:before="120" w:after="120"/>
              <w:jc w:val="center"/>
            </w:pPr>
            <w:r>
              <w:t>CUMED (1)</w:t>
            </w:r>
          </w:p>
          <w:p w14:paraId="4FB5E96B" w14:textId="77777777" w:rsidR="008238E6" w:rsidRDefault="00D61AB3">
            <w:pPr>
              <w:spacing w:before="120" w:after="120"/>
              <w:jc w:val="center"/>
            </w:pPr>
            <w:r>
              <w:t>VETINDEX (1)</w:t>
            </w:r>
          </w:p>
          <w:p w14:paraId="4FB5E96C" w14:textId="77777777" w:rsidR="008238E6" w:rsidRDefault="008238E6">
            <w:pPr>
              <w:spacing w:before="120" w:after="120"/>
              <w:jc w:val="center"/>
            </w:pPr>
          </w:p>
        </w:tc>
      </w:tr>
      <w:tr w:rsidR="008238E6" w14:paraId="4FB5E974" w14:textId="77777777">
        <w:trPr>
          <w:trHeight w:val="454"/>
        </w:trPr>
        <w:tc>
          <w:tcPr>
            <w:tcW w:w="1560" w:type="dxa"/>
            <w:vMerge/>
          </w:tcPr>
          <w:p w14:paraId="4FB5E96E"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6F" w14:textId="77777777" w:rsidR="008238E6" w:rsidRDefault="00D61AB3">
            <w:pPr>
              <w:spacing w:before="120" w:after="120"/>
            </w:pPr>
            <w:r>
              <w:t xml:space="preserve"> (mh:"Diabetes Mellitus Tipo 2" OR tw:"MODY" OR tw:"Diabetes de Início na Maturidade" OR tw:"Diabetes de Inicio en la Madurez" OR tw:"Maturity-Onset Diabetes of the Young" OR tw:"Diabetes Monogênica" OR tw:"Diabetes Monogénica" OR tw:"Monogenic Diabetes" OR tw:"Diabetes de Maturidade" OR tw:"Diabetes de Madurez" OR tw:"Maturity-Onset Diabetes")</w:t>
            </w:r>
          </w:p>
          <w:p w14:paraId="4FB5E970" w14:textId="77777777" w:rsidR="008238E6" w:rsidRDefault="00D61AB3">
            <w:pPr>
              <w:spacing w:before="120" w:after="120"/>
              <w:jc w:val="center"/>
            </w:pPr>
            <w:r>
              <w:t xml:space="preserve">  AND</w:t>
            </w:r>
          </w:p>
          <w:p w14:paraId="4FB5E971" w14:textId="77777777" w:rsidR="008238E6" w:rsidRDefault="00D61AB3">
            <w:pPr>
              <w:spacing w:before="120" w:after="120"/>
            </w:pPr>
            <w:r>
              <w:t xml:space="preserve">  (mh:"Testes Genéticos" OR mh:"Pruebas Genéticas" OR mh:"Genetic Testing" OR tw:"Teste Genético" OR tw:"Prueba Genética" OR tw:"Genetic Test" OR tw:"Teste de DNA" OR tw:"Prueba de ADN" OR tw:"DNA Test" OR mh:"Técnicas de Diagnóstico Molecular" OR mh:"Técnicas de Diagnóstico Molecular" OR mh:"Molecular Diagnostic Techniques" OR tw:"Sequenciamento Genético" OR tw:"Secuenciación Genética" OR tw:"Gene Sequencing" OR tw:"Análise de Mutação" OR tw:"Análisis de Mutación" OR tw:"Mutation Analysis")</w:t>
            </w:r>
          </w:p>
          <w:p w14:paraId="4FB5E972" w14:textId="77777777" w:rsidR="008238E6" w:rsidRDefault="008238E6">
            <w:pPr>
              <w:spacing w:before="120" w:after="120"/>
              <w:jc w:val="center"/>
            </w:pPr>
          </w:p>
        </w:tc>
        <w:tc>
          <w:tcPr>
            <w:tcW w:w="2126" w:type="dxa"/>
            <w:vMerge/>
            <w:vAlign w:val="center"/>
          </w:tcPr>
          <w:p w14:paraId="4FB5E973" w14:textId="77777777" w:rsidR="008238E6" w:rsidRDefault="008238E6">
            <w:pPr>
              <w:widowControl w:val="0"/>
              <w:pBdr>
                <w:top w:val="nil"/>
                <w:left w:val="nil"/>
                <w:bottom w:val="nil"/>
                <w:right w:val="nil"/>
                <w:between w:val="nil"/>
              </w:pBdr>
              <w:spacing w:before="0" w:line="276" w:lineRule="auto"/>
              <w:jc w:val="left"/>
            </w:pPr>
          </w:p>
        </w:tc>
      </w:tr>
      <w:tr w:rsidR="008238E6" w14:paraId="4FB5E978" w14:textId="77777777">
        <w:trPr>
          <w:trHeight w:val="454"/>
        </w:trPr>
        <w:tc>
          <w:tcPr>
            <w:tcW w:w="1560" w:type="dxa"/>
            <w:vMerge w:val="restart"/>
          </w:tcPr>
          <w:p w14:paraId="4FB5E975" w14:textId="77777777" w:rsidR="008238E6" w:rsidRDefault="00D61AB3">
            <w:pPr>
              <w:widowControl w:val="0"/>
              <w:spacing w:before="0" w:line="276" w:lineRule="auto"/>
              <w:jc w:val="left"/>
              <w:rPr>
                <w:b/>
              </w:rPr>
            </w:pPr>
            <w:r>
              <w:rPr>
                <w:b/>
              </w:rPr>
              <w:t>SCIELO</w:t>
            </w:r>
          </w:p>
        </w:tc>
        <w:tc>
          <w:tcPr>
            <w:tcW w:w="5386" w:type="dxa"/>
            <w:shd w:val="clear" w:color="auto" w:fill="auto"/>
          </w:tcPr>
          <w:p w14:paraId="4FB5E976" w14:textId="77777777" w:rsidR="008238E6" w:rsidRDefault="00D61AB3">
            <w:pPr>
              <w:spacing w:before="120" w:after="120"/>
              <w:jc w:val="center"/>
            </w:pPr>
            <w:r>
              <w:rPr>
                <w:b/>
              </w:rPr>
              <w:t>Proponente</w:t>
            </w:r>
          </w:p>
        </w:tc>
        <w:tc>
          <w:tcPr>
            <w:tcW w:w="2126" w:type="dxa"/>
            <w:vMerge w:val="restart"/>
            <w:vAlign w:val="center"/>
          </w:tcPr>
          <w:p w14:paraId="4FB5E977" w14:textId="77777777" w:rsidR="008238E6" w:rsidRDefault="00D61AB3">
            <w:pPr>
              <w:spacing w:before="120" w:after="120"/>
              <w:jc w:val="center"/>
              <w:rPr>
                <w:highlight w:val="yellow"/>
              </w:rPr>
            </w:pPr>
            <w:r>
              <w:t>344 [30/08/2022]</w:t>
            </w:r>
          </w:p>
        </w:tc>
      </w:tr>
      <w:tr w:rsidR="008238E6" w14:paraId="4FB5E97C" w14:textId="77777777">
        <w:trPr>
          <w:trHeight w:val="454"/>
        </w:trPr>
        <w:tc>
          <w:tcPr>
            <w:tcW w:w="1560" w:type="dxa"/>
            <w:vMerge/>
          </w:tcPr>
          <w:p w14:paraId="4FB5E979" w14:textId="77777777" w:rsidR="008238E6" w:rsidRDefault="008238E6">
            <w:pPr>
              <w:widowControl w:val="0"/>
              <w:pBdr>
                <w:top w:val="nil"/>
                <w:left w:val="nil"/>
                <w:bottom w:val="nil"/>
                <w:right w:val="nil"/>
                <w:between w:val="nil"/>
              </w:pBdr>
              <w:spacing w:before="0" w:line="276" w:lineRule="auto"/>
              <w:jc w:val="left"/>
              <w:rPr>
                <w:highlight w:val="yellow"/>
              </w:rPr>
            </w:pPr>
          </w:p>
        </w:tc>
        <w:tc>
          <w:tcPr>
            <w:tcW w:w="5386" w:type="dxa"/>
            <w:shd w:val="clear" w:color="auto" w:fill="auto"/>
          </w:tcPr>
          <w:p w14:paraId="4FB5E97A" w14:textId="77777777" w:rsidR="008238E6" w:rsidRDefault="00D61AB3">
            <w:pPr>
              <w:spacing w:before="120" w:after="120"/>
              <w:jc w:val="center"/>
            </w:pPr>
            <w:r>
              <w:t>MODY OR maturity onset diabetes</w:t>
            </w:r>
          </w:p>
        </w:tc>
        <w:tc>
          <w:tcPr>
            <w:tcW w:w="2126" w:type="dxa"/>
            <w:vMerge/>
            <w:vAlign w:val="center"/>
          </w:tcPr>
          <w:p w14:paraId="4FB5E97B" w14:textId="77777777" w:rsidR="008238E6" w:rsidRDefault="008238E6">
            <w:pPr>
              <w:widowControl w:val="0"/>
              <w:pBdr>
                <w:top w:val="nil"/>
                <w:left w:val="nil"/>
                <w:bottom w:val="nil"/>
                <w:right w:val="nil"/>
                <w:between w:val="nil"/>
              </w:pBdr>
              <w:spacing w:before="0" w:line="276" w:lineRule="auto"/>
              <w:jc w:val="left"/>
            </w:pPr>
          </w:p>
        </w:tc>
      </w:tr>
      <w:tr w:rsidR="008238E6" w14:paraId="4FB5E980" w14:textId="77777777">
        <w:trPr>
          <w:trHeight w:val="454"/>
        </w:trPr>
        <w:tc>
          <w:tcPr>
            <w:tcW w:w="1560" w:type="dxa"/>
            <w:vMerge w:val="restart"/>
            <w:shd w:val="clear" w:color="auto" w:fill="auto"/>
          </w:tcPr>
          <w:p w14:paraId="4FB5E97D" w14:textId="77777777" w:rsidR="008238E6" w:rsidRDefault="00D61AB3">
            <w:pPr>
              <w:widowControl w:val="0"/>
              <w:pBdr>
                <w:top w:val="nil"/>
                <w:left w:val="nil"/>
                <w:bottom w:val="nil"/>
                <w:right w:val="nil"/>
                <w:between w:val="nil"/>
              </w:pBdr>
              <w:spacing w:before="0"/>
              <w:jc w:val="left"/>
              <w:rPr>
                <w:b/>
              </w:rPr>
            </w:pPr>
            <w:r>
              <w:rPr>
                <w:b/>
              </w:rPr>
              <w:t>SCOPUS</w:t>
            </w:r>
          </w:p>
        </w:tc>
        <w:tc>
          <w:tcPr>
            <w:tcW w:w="5386" w:type="dxa"/>
            <w:shd w:val="clear" w:color="auto" w:fill="auto"/>
          </w:tcPr>
          <w:p w14:paraId="4FB5E97E" w14:textId="77777777" w:rsidR="008238E6" w:rsidRDefault="00D61AB3">
            <w:pPr>
              <w:spacing w:before="120" w:after="120"/>
              <w:jc w:val="center"/>
              <w:rPr>
                <w:b/>
              </w:rPr>
            </w:pPr>
            <w:r>
              <w:rPr>
                <w:b/>
              </w:rPr>
              <w:t>Parecerista</w:t>
            </w:r>
          </w:p>
        </w:tc>
        <w:tc>
          <w:tcPr>
            <w:tcW w:w="2126" w:type="dxa"/>
            <w:vMerge w:val="restart"/>
            <w:vAlign w:val="center"/>
          </w:tcPr>
          <w:p w14:paraId="4FB5E97F" w14:textId="77777777" w:rsidR="008238E6" w:rsidRDefault="00D61AB3">
            <w:pPr>
              <w:spacing w:before="120" w:after="120"/>
              <w:jc w:val="center"/>
              <w:rPr>
                <w:highlight w:val="yellow"/>
              </w:rPr>
            </w:pPr>
            <w:r>
              <w:t>1.668 [05/08/2024]</w:t>
            </w:r>
          </w:p>
        </w:tc>
      </w:tr>
      <w:tr w:rsidR="008238E6" w14:paraId="4FB5E984" w14:textId="77777777">
        <w:trPr>
          <w:trHeight w:val="454"/>
        </w:trPr>
        <w:tc>
          <w:tcPr>
            <w:tcW w:w="1560" w:type="dxa"/>
            <w:vMerge/>
            <w:shd w:val="clear" w:color="auto" w:fill="auto"/>
          </w:tcPr>
          <w:p w14:paraId="4FB5E981" w14:textId="77777777" w:rsidR="008238E6" w:rsidRDefault="008238E6">
            <w:pPr>
              <w:widowControl w:val="0"/>
              <w:pBdr>
                <w:top w:val="nil"/>
                <w:left w:val="nil"/>
                <w:bottom w:val="nil"/>
                <w:right w:val="nil"/>
                <w:between w:val="nil"/>
              </w:pBdr>
              <w:spacing w:before="0" w:line="276" w:lineRule="auto"/>
              <w:jc w:val="left"/>
              <w:rPr>
                <w:highlight w:val="yellow"/>
              </w:rPr>
            </w:pPr>
          </w:p>
        </w:tc>
        <w:tc>
          <w:tcPr>
            <w:tcW w:w="5386" w:type="dxa"/>
            <w:shd w:val="clear" w:color="auto" w:fill="auto"/>
          </w:tcPr>
          <w:p w14:paraId="4FB5E982" w14:textId="77777777" w:rsidR="008238E6" w:rsidRDefault="00D61AB3">
            <w:pPr>
              <w:spacing w:before="120" w:after="120"/>
            </w:pPr>
            <w:r>
              <w:t>TITLE-ABS-KEY ( "maturity-onset diabetes of the young" OR "MODY" OR "monogenic diabetes" ) AND TITLE-ABS-KEY ( "genetic testing" OR "DNA sequencing" OR "genetic sequence" OR "molecular diagnosis" OR "mutation analysis" OR "HNF1A" OR "HNF1alpha" OR "HNF4A" OR "HNF4alpha" OR "glucokinase" OR "GCK" )</w:t>
            </w:r>
          </w:p>
        </w:tc>
        <w:tc>
          <w:tcPr>
            <w:tcW w:w="2126" w:type="dxa"/>
            <w:vMerge/>
            <w:vAlign w:val="center"/>
          </w:tcPr>
          <w:p w14:paraId="4FB5E983" w14:textId="77777777" w:rsidR="008238E6" w:rsidRDefault="008238E6">
            <w:pPr>
              <w:widowControl w:val="0"/>
              <w:pBdr>
                <w:top w:val="nil"/>
                <w:left w:val="nil"/>
                <w:bottom w:val="nil"/>
                <w:right w:val="nil"/>
                <w:between w:val="nil"/>
              </w:pBdr>
              <w:spacing w:before="0" w:line="276" w:lineRule="auto"/>
              <w:jc w:val="left"/>
            </w:pPr>
          </w:p>
        </w:tc>
      </w:tr>
      <w:tr w:rsidR="008238E6" w14:paraId="4FB5E988" w14:textId="77777777">
        <w:trPr>
          <w:trHeight w:val="454"/>
        </w:trPr>
        <w:tc>
          <w:tcPr>
            <w:tcW w:w="1560" w:type="dxa"/>
            <w:vMerge w:val="restart"/>
            <w:shd w:val="clear" w:color="auto" w:fill="auto"/>
          </w:tcPr>
          <w:p w14:paraId="4FB5E985" w14:textId="77777777" w:rsidR="008238E6" w:rsidRDefault="00D61AB3">
            <w:pPr>
              <w:widowControl w:val="0"/>
              <w:pBdr>
                <w:top w:val="nil"/>
                <w:left w:val="nil"/>
                <w:bottom w:val="nil"/>
                <w:right w:val="nil"/>
                <w:between w:val="nil"/>
              </w:pBdr>
              <w:spacing w:before="0"/>
              <w:jc w:val="left"/>
              <w:rPr>
                <w:b/>
              </w:rPr>
            </w:pPr>
            <w:r>
              <w:rPr>
                <w:b/>
              </w:rPr>
              <w:t>EMBASE</w:t>
            </w:r>
          </w:p>
        </w:tc>
        <w:tc>
          <w:tcPr>
            <w:tcW w:w="5386" w:type="dxa"/>
            <w:shd w:val="clear" w:color="auto" w:fill="auto"/>
          </w:tcPr>
          <w:p w14:paraId="4FB5E986" w14:textId="77777777" w:rsidR="008238E6" w:rsidRDefault="00D61AB3">
            <w:pPr>
              <w:spacing w:before="120" w:after="120"/>
              <w:jc w:val="center"/>
            </w:pPr>
            <w:r>
              <w:rPr>
                <w:b/>
              </w:rPr>
              <w:t>Parecerista</w:t>
            </w:r>
          </w:p>
        </w:tc>
        <w:tc>
          <w:tcPr>
            <w:tcW w:w="2126" w:type="dxa"/>
            <w:vMerge w:val="restart"/>
            <w:vAlign w:val="center"/>
          </w:tcPr>
          <w:p w14:paraId="4FB5E987" w14:textId="77777777" w:rsidR="008238E6" w:rsidRDefault="00D61AB3">
            <w:pPr>
              <w:spacing w:before="120" w:after="120"/>
              <w:jc w:val="center"/>
              <w:rPr>
                <w:highlight w:val="yellow"/>
              </w:rPr>
            </w:pPr>
            <w:r>
              <w:t>1.369 [09/08/2024]</w:t>
            </w:r>
          </w:p>
        </w:tc>
      </w:tr>
      <w:tr w:rsidR="008238E6" w14:paraId="4FB5E98C" w14:textId="77777777">
        <w:trPr>
          <w:trHeight w:val="454"/>
        </w:trPr>
        <w:tc>
          <w:tcPr>
            <w:tcW w:w="1560" w:type="dxa"/>
            <w:vMerge/>
            <w:shd w:val="clear" w:color="auto" w:fill="auto"/>
          </w:tcPr>
          <w:p w14:paraId="4FB5E989" w14:textId="77777777" w:rsidR="008238E6" w:rsidRDefault="008238E6">
            <w:pPr>
              <w:widowControl w:val="0"/>
              <w:pBdr>
                <w:top w:val="nil"/>
                <w:left w:val="nil"/>
                <w:bottom w:val="nil"/>
                <w:right w:val="nil"/>
                <w:between w:val="nil"/>
              </w:pBdr>
              <w:spacing w:before="0" w:line="276" w:lineRule="auto"/>
              <w:jc w:val="left"/>
              <w:rPr>
                <w:highlight w:val="yellow"/>
              </w:rPr>
            </w:pPr>
          </w:p>
        </w:tc>
        <w:tc>
          <w:tcPr>
            <w:tcW w:w="5386" w:type="dxa"/>
            <w:shd w:val="clear" w:color="auto" w:fill="auto"/>
          </w:tcPr>
          <w:p w14:paraId="4FB5E98A" w14:textId="77777777" w:rsidR="008238E6" w:rsidRDefault="00D61AB3">
            <w:pPr>
              <w:spacing w:before="120" w:after="120"/>
            </w:pPr>
            <w:r>
              <w:t>('maturity onset' AND ('diabetes'/exp OR diabetes) AND of AND the AND young OR 'mody' OR 'mody':ab,ti,kw OR 'monogenic diabetes':ab,ti,kw) AND ('genetic screening' OR 'dna sequencing' OR 'genetic sequence' OR 'molecular diagnosis' OR 'mutation analysis' OR 'hnf1a':ab,kw,ti OR hnf1alpha:ab,kw,ti OR 'hnf4a':ab,kw,ti OR 'hnf4alpha':ti,kw,ab OR 'glucokinase' OR 'gck':ti,kw,ab) AND [embase]/lim NOT ([embase]/lim AND [medline]/lim)</w:t>
            </w:r>
          </w:p>
        </w:tc>
        <w:tc>
          <w:tcPr>
            <w:tcW w:w="2126" w:type="dxa"/>
            <w:vMerge/>
            <w:vAlign w:val="center"/>
          </w:tcPr>
          <w:p w14:paraId="4FB5E98B" w14:textId="77777777" w:rsidR="008238E6" w:rsidRDefault="008238E6">
            <w:pPr>
              <w:widowControl w:val="0"/>
              <w:pBdr>
                <w:top w:val="nil"/>
                <w:left w:val="nil"/>
                <w:bottom w:val="nil"/>
                <w:right w:val="nil"/>
                <w:between w:val="nil"/>
              </w:pBdr>
              <w:spacing w:before="0" w:line="276" w:lineRule="auto"/>
              <w:jc w:val="left"/>
            </w:pPr>
          </w:p>
        </w:tc>
      </w:tr>
      <w:tr w:rsidR="008238E6" w14:paraId="4FB5E992" w14:textId="77777777">
        <w:trPr>
          <w:trHeight w:val="454"/>
        </w:trPr>
        <w:tc>
          <w:tcPr>
            <w:tcW w:w="1560" w:type="dxa"/>
            <w:vMerge w:val="restart"/>
            <w:shd w:val="clear" w:color="auto" w:fill="auto"/>
          </w:tcPr>
          <w:p w14:paraId="4FB5E98D" w14:textId="77777777" w:rsidR="008238E6" w:rsidRDefault="00D61AB3">
            <w:pPr>
              <w:widowControl w:val="0"/>
              <w:pBdr>
                <w:top w:val="nil"/>
                <w:left w:val="nil"/>
                <w:bottom w:val="nil"/>
                <w:right w:val="nil"/>
                <w:between w:val="nil"/>
              </w:pBdr>
              <w:spacing w:before="0"/>
              <w:jc w:val="left"/>
              <w:rPr>
                <w:b/>
              </w:rPr>
            </w:pPr>
            <w:r>
              <w:rPr>
                <w:b/>
              </w:rPr>
              <w:t>COCHRANE</w:t>
            </w:r>
          </w:p>
        </w:tc>
        <w:tc>
          <w:tcPr>
            <w:tcW w:w="5386" w:type="dxa"/>
            <w:shd w:val="clear" w:color="auto" w:fill="auto"/>
          </w:tcPr>
          <w:p w14:paraId="4FB5E98E" w14:textId="77777777" w:rsidR="008238E6" w:rsidRDefault="00D61AB3">
            <w:pPr>
              <w:spacing w:before="120" w:after="120"/>
              <w:jc w:val="center"/>
            </w:pPr>
            <w:r>
              <w:rPr>
                <w:b/>
              </w:rPr>
              <w:t>Parecerista</w:t>
            </w:r>
          </w:p>
        </w:tc>
        <w:tc>
          <w:tcPr>
            <w:tcW w:w="2126" w:type="dxa"/>
            <w:vMerge w:val="restart"/>
            <w:vAlign w:val="center"/>
          </w:tcPr>
          <w:p w14:paraId="4FB5E98F" w14:textId="77777777" w:rsidR="008238E6" w:rsidRDefault="00D61AB3">
            <w:pPr>
              <w:spacing w:before="120" w:after="120"/>
              <w:jc w:val="center"/>
            </w:pPr>
            <w:r>
              <w:t>108 [02/08/2024]</w:t>
            </w:r>
          </w:p>
          <w:p w14:paraId="4FB5E990" w14:textId="77777777" w:rsidR="008238E6" w:rsidRDefault="00D61AB3">
            <w:pPr>
              <w:spacing w:before="120" w:after="120"/>
              <w:jc w:val="center"/>
            </w:pPr>
            <w:r>
              <w:t>Ensaios clínicos (108)</w:t>
            </w:r>
          </w:p>
          <w:p w14:paraId="4FB5E991" w14:textId="77777777" w:rsidR="008238E6" w:rsidRDefault="00D61AB3">
            <w:pPr>
              <w:spacing w:before="120" w:after="120"/>
              <w:jc w:val="center"/>
            </w:pPr>
            <w:r>
              <w:t>Revisões sistemáticas (0)</w:t>
            </w:r>
          </w:p>
        </w:tc>
      </w:tr>
      <w:tr w:rsidR="008238E6" w14:paraId="4FB5E99D" w14:textId="77777777">
        <w:trPr>
          <w:trHeight w:val="454"/>
        </w:trPr>
        <w:tc>
          <w:tcPr>
            <w:tcW w:w="1560" w:type="dxa"/>
            <w:vMerge/>
            <w:shd w:val="clear" w:color="auto" w:fill="auto"/>
          </w:tcPr>
          <w:p w14:paraId="4FB5E993" w14:textId="77777777" w:rsidR="008238E6" w:rsidRDefault="008238E6">
            <w:pPr>
              <w:widowControl w:val="0"/>
              <w:pBdr>
                <w:top w:val="nil"/>
                <w:left w:val="nil"/>
                <w:bottom w:val="nil"/>
                <w:right w:val="nil"/>
                <w:between w:val="nil"/>
              </w:pBdr>
              <w:spacing w:before="0" w:line="276" w:lineRule="auto"/>
              <w:jc w:val="left"/>
            </w:pPr>
          </w:p>
        </w:tc>
        <w:tc>
          <w:tcPr>
            <w:tcW w:w="5386" w:type="dxa"/>
            <w:shd w:val="clear" w:color="auto" w:fill="auto"/>
          </w:tcPr>
          <w:p w14:paraId="4FB5E994" w14:textId="77777777" w:rsidR="008238E6" w:rsidRDefault="00D61AB3">
            <w:pPr>
              <w:spacing w:before="120" w:after="120"/>
            </w:pPr>
            <w:r>
              <w:t xml:space="preserve"> #1 MeSH descriptor: [Diabetes Mellitus, Type 2] explode all trees</w:t>
            </w:r>
          </w:p>
          <w:p w14:paraId="4FB5E995" w14:textId="77777777" w:rsidR="008238E6" w:rsidRDefault="00D61AB3">
            <w:pPr>
              <w:spacing w:before="120" w:after="120"/>
            </w:pPr>
            <w:r>
              <w:t xml:space="preserve">  #2 ("maturity onset diabetes of the young" or MODY or "monogenic diabetes")</w:t>
            </w:r>
          </w:p>
          <w:p w14:paraId="4FB5E996" w14:textId="77777777" w:rsidR="008238E6" w:rsidRDefault="00D61AB3">
            <w:pPr>
              <w:spacing w:before="120" w:after="120"/>
              <w:jc w:val="center"/>
            </w:pPr>
            <w:r>
              <w:t xml:space="preserve">  #3  #1 OR  #2</w:t>
            </w:r>
          </w:p>
          <w:p w14:paraId="4FB5E997" w14:textId="77777777" w:rsidR="008238E6" w:rsidRDefault="00D61AB3">
            <w:pPr>
              <w:spacing w:before="120" w:after="120"/>
              <w:jc w:val="center"/>
            </w:pPr>
            <w:r>
              <w:t xml:space="preserve">  #4 MeSH descriptor: [Genetic Testing] explode all trees</w:t>
            </w:r>
          </w:p>
          <w:p w14:paraId="4FB5E998" w14:textId="77777777" w:rsidR="008238E6" w:rsidRDefault="00D61AB3">
            <w:pPr>
              <w:spacing w:before="120" w:after="120"/>
            </w:pPr>
            <w:r>
              <w:t xml:space="preserve">  #5 MeSH descriptor: [Sequence Analysis, DNA] explode all trees</w:t>
            </w:r>
          </w:p>
          <w:p w14:paraId="4FB5E999" w14:textId="77777777" w:rsidR="008238E6" w:rsidRDefault="00D61AB3">
            <w:pPr>
              <w:spacing w:before="120" w:after="120"/>
            </w:pPr>
            <w:r>
              <w:t xml:space="preserve">  #6 ("genetic testing" or "DNA sequencing" or "gene sequencing" or "molecular diagnosis" or "mutation analysis" or HNF1A or HNF1alpha or HNF4A or HNF4alpha or glucokinase or GCK)</w:t>
            </w:r>
          </w:p>
          <w:p w14:paraId="4FB5E99A" w14:textId="77777777" w:rsidR="008238E6" w:rsidRDefault="00D61AB3">
            <w:pPr>
              <w:spacing w:before="120" w:after="120"/>
              <w:jc w:val="center"/>
            </w:pPr>
            <w:r>
              <w:t xml:space="preserve">  #7  #4 or #5 or #6</w:t>
            </w:r>
          </w:p>
          <w:p w14:paraId="4FB5E99B" w14:textId="77777777" w:rsidR="008238E6" w:rsidRDefault="00D61AB3">
            <w:pPr>
              <w:spacing w:before="120" w:after="120"/>
              <w:jc w:val="center"/>
            </w:pPr>
            <w:r>
              <w:t xml:space="preserve">  #8   #3 and #7</w:t>
            </w:r>
          </w:p>
        </w:tc>
        <w:tc>
          <w:tcPr>
            <w:tcW w:w="2126" w:type="dxa"/>
            <w:vMerge/>
            <w:vAlign w:val="center"/>
          </w:tcPr>
          <w:p w14:paraId="4FB5E99C" w14:textId="77777777" w:rsidR="008238E6" w:rsidRDefault="008238E6">
            <w:pPr>
              <w:widowControl w:val="0"/>
              <w:pBdr>
                <w:top w:val="nil"/>
                <w:left w:val="nil"/>
                <w:bottom w:val="nil"/>
                <w:right w:val="nil"/>
                <w:between w:val="nil"/>
              </w:pBdr>
              <w:spacing w:before="0" w:line="276" w:lineRule="auto"/>
              <w:jc w:val="left"/>
            </w:pPr>
          </w:p>
        </w:tc>
      </w:tr>
    </w:tbl>
    <w:p w14:paraId="4FB5E99E" w14:textId="77777777" w:rsidR="008238E6" w:rsidRDefault="00D61AB3">
      <w:pPr>
        <w:pStyle w:val="Heading4"/>
      </w:pPr>
      <w:bookmarkStart w:id="27" w:name="_heading=h.r7jqil7ahdb8" w:colFirst="0" w:colLast="0"/>
      <w:bookmarkEnd w:id="27"/>
      <w:r>
        <w:rPr>
          <w:b/>
        </w:rPr>
        <w:t>Quadro 7.</w:t>
      </w:r>
      <w:r>
        <w:t xml:space="preserve"> Fontes de buscas adicionais (versão do PROPONENTE e do PARECERISTA).</w:t>
      </w:r>
    </w:p>
    <w:tbl>
      <w:tblPr>
        <w:tblStyle w:val="afffff5"/>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4"/>
        <w:gridCol w:w="3993"/>
        <w:gridCol w:w="4085"/>
      </w:tblGrid>
      <w:tr w:rsidR="008238E6" w14:paraId="4FB5E9A2" w14:textId="77777777">
        <w:trPr>
          <w:trHeight w:val="454"/>
          <w:jc w:val="center"/>
        </w:trPr>
        <w:tc>
          <w:tcPr>
            <w:tcW w:w="994" w:type="dxa"/>
            <w:shd w:val="clear" w:color="auto" w:fill="D9E2F3"/>
          </w:tcPr>
          <w:p w14:paraId="4FB5E99F" w14:textId="77777777" w:rsidR="008238E6" w:rsidRDefault="00D61AB3">
            <w:pPr>
              <w:spacing w:before="120" w:after="120"/>
              <w:jc w:val="center"/>
              <w:rPr>
                <w:b/>
              </w:rPr>
            </w:pPr>
            <w:r>
              <w:rPr>
                <w:b/>
              </w:rPr>
              <w:t>Fonte</w:t>
            </w:r>
          </w:p>
        </w:tc>
        <w:tc>
          <w:tcPr>
            <w:tcW w:w="3993" w:type="dxa"/>
            <w:shd w:val="clear" w:color="auto" w:fill="D9E2F3"/>
          </w:tcPr>
          <w:p w14:paraId="4FB5E9A0" w14:textId="77777777" w:rsidR="008238E6" w:rsidRDefault="00D61AB3">
            <w:pPr>
              <w:spacing w:before="120" w:after="120"/>
              <w:jc w:val="center"/>
              <w:rPr>
                <w:b/>
              </w:rPr>
            </w:pPr>
            <w:r>
              <w:rPr>
                <w:b/>
              </w:rPr>
              <w:t>Proponente</w:t>
            </w:r>
          </w:p>
        </w:tc>
        <w:tc>
          <w:tcPr>
            <w:tcW w:w="4085" w:type="dxa"/>
            <w:shd w:val="clear" w:color="auto" w:fill="D9E2F3"/>
          </w:tcPr>
          <w:p w14:paraId="4FB5E9A1" w14:textId="77777777" w:rsidR="008238E6" w:rsidRDefault="00D61AB3">
            <w:pPr>
              <w:spacing w:before="120" w:after="120"/>
              <w:jc w:val="center"/>
              <w:rPr>
                <w:b/>
              </w:rPr>
            </w:pPr>
            <w:r>
              <w:rPr>
                <w:b/>
              </w:rPr>
              <w:t>Parecerista</w:t>
            </w:r>
          </w:p>
        </w:tc>
      </w:tr>
      <w:tr w:rsidR="008238E6" w14:paraId="4FB5E9A6" w14:textId="77777777">
        <w:trPr>
          <w:trHeight w:val="454"/>
          <w:jc w:val="center"/>
        </w:trPr>
        <w:tc>
          <w:tcPr>
            <w:tcW w:w="994" w:type="dxa"/>
            <w:shd w:val="clear" w:color="auto" w:fill="auto"/>
          </w:tcPr>
          <w:p w14:paraId="4FB5E9A3" w14:textId="77777777" w:rsidR="008238E6" w:rsidRDefault="00D61AB3">
            <w:pPr>
              <w:spacing w:before="120" w:after="120"/>
              <w:jc w:val="center"/>
              <w:rPr>
                <w:b/>
              </w:rPr>
            </w:pPr>
            <w:r>
              <w:rPr>
                <w:b/>
              </w:rPr>
              <w:t>1</w:t>
            </w:r>
          </w:p>
        </w:tc>
        <w:tc>
          <w:tcPr>
            <w:tcW w:w="3993" w:type="dxa"/>
            <w:shd w:val="clear" w:color="auto" w:fill="auto"/>
          </w:tcPr>
          <w:p w14:paraId="4FB5E9A4" w14:textId="77777777" w:rsidR="008238E6" w:rsidRDefault="00D61AB3">
            <w:pPr>
              <w:spacing w:before="120" w:after="120"/>
              <w:jc w:val="center"/>
            </w:pPr>
            <w:r>
              <w:t>Não mencionado</w:t>
            </w:r>
          </w:p>
        </w:tc>
        <w:tc>
          <w:tcPr>
            <w:tcW w:w="4085" w:type="dxa"/>
          </w:tcPr>
          <w:p w14:paraId="4FB5E9A5" w14:textId="77777777" w:rsidR="008238E6" w:rsidRDefault="00D61AB3">
            <w:pPr>
              <w:spacing w:before="120" w:after="120"/>
              <w:jc w:val="center"/>
            </w:pPr>
            <w:r>
              <w:t xml:space="preserve">Lista de referências de estudo relevantes </w:t>
            </w:r>
          </w:p>
        </w:tc>
      </w:tr>
      <w:tr w:rsidR="008238E6" w14:paraId="4FB5E9AA" w14:textId="77777777">
        <w:trPr>
          <w:trHeight w:val="454"/>
          <w:jc w:val="center"/>
        </w:trPr>
        <w:tc>
          <w:tcPr>
            <w:tcW w:w="994" w:type="dxa"/>
            <w:shd w:val="clear" w:color="auto" w:fill="auto"/>
          </w:tcPr>
          <w:p w14:paraId="4FB5E9A7" w14:textId="77777777" w:rsidR="008238E6" w:rsidRDefault="00D61AB3">
            <w:pPr>
              <w:spacing w:before="120" w:after="120"/>
              <w:jc w:val="center"/>
              <w:rPr>
                <w:b/>
              </w:rPr>
            </w:pPr>
            <w:r>
              <w:rPr>
                <w:b/>
              </w:rPr>
              <w:t>2</w:t>
            </w:r>
          </w:p>
        </w:tc>
        <w:tc>
          <w:tcPr>
            <w:tcW w:w="3993" w:type="dxa"/>
            <w:shd w:val="clear" w:color="auto" w:fill="auto"/>
          </w:tcPr>
          <w:p w14:paraId="4FB5E9A8" w14:textId="77777777" w:rsidR="008238E6" w:rsidRDefault="00D61AB3">
            <w:pPr>
              <w:spacing w:before="120" w:after="120"/>
              <w:jc w:val="center"/>
            </w:pPr>
            <w:r>
              <w:t>Não mencionado</w:t>
            </w:r>
          </w:p>
        </w:tc>
        <w:tc>
          <w:tcPr>
            <w:tcW w:w="4085" w:type="dxa"/>
          </w:tcPr>
          <w:p w14:paraId="4FB5E9A9" w14:textId="77777777" w:rsidR="008238E6" w:rsidRDefault="00D61AB3">
            <w:pPr>
              <w:spacing w:before="120" w:after="120"/>
              <w:jc w:val="center"/>
            </w:pPr>
            <w:r>
              <w:t>ClinicalTrials.gov</w:t>
            </w:r>
          </w:p>
        </w:tc>
      </w:tr>
      <w:tr w:rsidR="008238E6" w14:paraId="4FB5E9AE" w14:textId="77777777">
        <w:trPr>
          <w:trHeight w:val="454"/>
          <w:jc w:val="center"/>
        </w:trPr>
        <w:tc>
          <w:tcPr>
            <w:tcW w:w="994" w:type="dxa"/>
            <w:shd w:val="clear" w:color="auto" w:fill="auto"/>
          </w:tcPr>
          <w:p w14:paraId="4FB5E9AB" w14:textId="77777777" w:rsidR="008238E6" w:rsidRDefault="00D61AB3">
            <w:pPr>
              <w:spacing w:before="120" w:after="120"/>
              <w:jc w:val="center"/>
              <w:rPr>
                <w:b/>
              </w:rPr>
            </w:pPr>
            <w:r>
              <w:rPr>
                <w:b/>
              </w:rPr>
              <w:t>3</w:t>
            </w:r>
          </w:p>
        </w:tc>
        <w:tc>
          <w:tcPr>
            <w:tcW w:w="3993" w:type="dxa"/>
            <w:shd w:val="clear" w:color="auto" w:fill="auto"/>
          </w:tcPr>
          <w:p w14:paraId="4FB5E9AC" w14:textId="77777777" w:rsidR="008238E6" w:rsidRDefault="00D61AB3">
            <w:pPr>
              <w:spacing w:before="120" w:after="120"/>
              <w:jc w:val="center"/>
            </w:pPr>
            <w:r>
              <w:t>Não mencionado</w:t>
            </w:r>
          </w:p>
        </w:tc>
        <w:tc>
          <w:tcPr>
            <w:tcW w:w="4085" w:type="dxa"/>
          </w:tcPr>
          <w:p w14:paraId="4FB5E9AD" w14:textId="77777777" w:rsidR="008238E6" w:rsidRDefault="00D61AB3">
            <w:pPr>
              <w:spacing w:before="120" w:after="120"/>
              <w:jc w:val="center"/>
            </w:pPr>
            <w:r>
              <w:t>Contato com especialista</w:t>
            </w:r>
          </w:p>
        </w:tc>
      </w:tr>
    </w:tbl>
    <w:p w14:paraId="4FB5E9AF" w14:textId="77777777" w:rsidR="008238E6" w:rsidRDefault="008238E6">
      <w:pPr>
        <w:rPr>
          <w:i/>
          <w:color w:val="FF0000"/>
        </w:rPr>
      </w:pPr>
    </w:p>
    <w:tbl>
      <w:tblPr>
        <w:tblStyle w:val="afffff6"/>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9B1" w14:textId="77777777">
        <w:trPr>
          <w:trHeight w:val="416"/>
        </w:trPr>
        <w:tc>
          <w:tcPr>
            <w:tcW w:w="9072" w:type="dxa"/>
            <w:shd w:val="clear" w:color="auto" w:fill="D9E2F3"/>
            <w:vAlign w:val="center"/>
          </w:tcPr>
          <w:p w14:paraId="4FB5E9B0" w14:textId="77777777" w:rsidR="008238E6" w:rsidRDefault="00D61AB3">
            <w:pPr>
              <w:spacing w:before="120" w:after="120"/>
              <w:jc w:val="center"/>
              <w:rPr>
                <w:b/>
              </w:rPr>
            </w:pPr>
            <w:r>
              <w:rPr>
                <w:b/>
              </w:rPr>
              <w:t>Comentários gerais sobre as fontes e estratégias de busca</w:t>
            </w:r>
          </w:p>
        </w:tc>
      </w:tr>
      <w:tr w:rsidR="008238E6" w14:paraId="4FB5E9B5" w14:textId="77777777">
        <w:trPr>
          <w:trHeight w:val="750"/>
        </w:trPr>
        <w:tc>
          <w:tcPr>
            <w:tcW w:w="9072" w:type="dxa"/>
            <w:vAlign w:val="center"/>
          </w:tcPr>
          <w:p w14:paraId="4FB5E9B2" w14:textId="77777777" w:rsidR="008238E6" w:rsidRDefault="00D61AB3">
            <w:pPr>
              <w:spacing w:before="120" w:after="120"/>
            </w:pPr>
            <w:r>
              <w:t xml:space="preserve">A estratégia de busca proposta pelo PROPONENTE foi considerada parcialmente adequada. Em algumas bases de dados, o operador </w:t>
            </w:r>
            <w:r w:rsidRPr="0070474F">
              <w:rPr>
                <w:i/>
                <w:iCs/>
              </w:rPr>
              <w:t>booleano</w:t>
            </w:r>
            <w:r>
              <w:t xml:space="preserve"> "AND" não foi utilizado corretamente para associar a população e a intervenção. Esta falha pode ter resultado em uma busca excessivamente ampla e imprecisa, comprometendo a especificidade e a sensibilidade da revisão. Desta forma, os PARECERISTAS reformularam a estratégia de busca nas bases de dados originais, assegurando o uso apropriado do operador "AND" para combinar adequadamente os termos relativos à população (pacientes com suspeita de MODY) e à intervenção (teste genético diagnóstico).</w:t>
            </w:r>
          </w:p>
          <w:p w14:paraId="4FB5E9B3" w14:textId="3087FB5E" w:rsidR="008238E6" w:rsidRDefault="00D61AB3">
            <w:pPr>
              <w:spacing w:before="120" w:after="120"/>
            </w:pPr>
            <w:r>
              <w:t>O PROPONENTE realizou buscas nas seguintes bases de dados: a) MEDLINE, b) LILACS, c) BVS (Biblioteca Virtual em Saúde) e d) SciELO (</w:t>
            </w:r>
            <w:r w:rsidRPr="00431C36">
              <w:rPr>
                <w:i/>
              </w:rPr>
              <w:t>Scientific Electronic Library Online</w:t>
            </w:r>
            <w:r>
              <w:t xml:space="preserve">). Os PARECERISTAS incluíram na sua busca </w:t>
            </w:r>
            <w:r w:rsidR="004D704F">
              <w:t>a</w:t>
            </w:r>
            <w:r>
              <w:t>s bases de dados: Medline, Lilacs via BVS, Scopus, Embase e Cochrane. Os PARECERISTAS realizaram a busca na BVS visto que já inclui a LILACS e outras bases de dados. Apesar da Scopus incluir todo o conteúdo do Embase, o inverso não é verdadeiro. Scopus é uma base de dados bibliográfica e de citações multidisciplinar,</w:t>
            </w:r>
            <w:r w:rsidR="004D704F">
              <w:t xml:space="preserve"> </w:t>
            </w:r>
            <w:r>
              <w:t>abrangendo várias áreas do conhecimento, incluindo ciências, tecnologia, medicina, ciências sociais, artes e humanidades. E a Embase é uma base</w:t>
            </w:r>
            <w:r w:rsidR="004D704F">
              <w:t xml:space="preserve"> </w:t>
            </w:r>
            <w:r>
              <w:t>de dados biomédica e farmacológica, focada especificamente em literatura biomédica e farmacêutica. Não foi realizada a busca na Scielo, pois a BVS inclui a SciELO em sua coleção de bases de dados; a Scopus indexa uma parte significativa do conteúdo da SciELO; e a combinação de Embase, Scopus e BVS oferece uma cobertura ampla e diversificada, incluindo publicações internacionais e regionais.</w:t>
            </w:r>
          </w:p>
          <w:p w14:paraId="4FB5E9B4" w14:textId="77777777" w:rsidR="008238E6" w:rsidRDefault="00D61AB3">
            <w:pPr>
              <w:spacing w:before="120" w:after="120"/>
            </w:pPr>
            <w:r>
              <w:t xml:space="preserve">O PROPONENTE não relatou a realização de buscas adicionais além das bases de dados primárias. Os PARECERISTAS realizaram busca no Clinical Trials e na lista de referências de estudos relevantes, bem como realizaram contato com o especialista na área para solucionar dúvidas eventuais relacionadas à doença e ao seu diagnóstico. </w:t>
            </w:r>
          </w:p>
        </w:tc>
      </w:tr>
    </w:tbl>
    <w:p w14:paraId="4FB5E9B6" w14:textId="77777777" w:rsidR="008238E6" w:rsidRDefault="008238E6">
      <w:pPr>
        <w:rPr>
          <w:smallCaps/>
          <w:highlight w:val="cyan"/>
        </w:rPr>
      </w:pPr>
      <w:bookmarkStart w:id="28" w:name="_heading=h.vx1227" w:colFirst="0" w:colLast="0"/>
      <w:bookmarkEnd w:id="28"/>
    </w:p>
    <w:p w14:paraId="4FB5E9B7" w14:textId="77777777" w:rsidR="008238E6" w:rsidRDefault="00D61AB3">
      <w:pPr>
        <w:pStyle w:val="Heading2"/>
      </w:pPr>
      <w:r>
        <w:t>5.4. Seleção de estudos e extração de dados</w:t>
      </w:r>
    </w:p>
    <w:p w14:paraId="4FB5E9B8" w14:textId="77777777" w:rsidR="008238E6" w:rsidRDefault="00D61AB3">
      <w:pPr>
        <w:pStyle w:val="Heading4"/>
      </w:pPr>
      <w:bookmarkStart w:id="29" w:name="_heading=h.x0ycb0yo4woy" w:colFirst="0" w:colLast="0"/>
      <w:bookmarkEnd w:id="29"/>
      <w:r>
        <w:rPr>
          <w:b/>
        </w:rPr>
        <w:t xml:space="preserve">Quadro 8. </w:t>
      </w:r>
      <w:r>
        <w:t>Características do processo de seleção dos estudos e extração de dados (versão do PROPONENTE e do PARECERISTA).</w:t>
      </w:r>
    </w:p>
    <w:tbl>
      <w:tblPr>
        <w:tblStyle w:val="afffff7"/>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1"/>
        <w:gridCol w:w="2268"/>
        <w:gridCol w:w="2663"/>
        <w:gridCol w:w="2723"/>
      </w:tblGrid>
      <w:tr w:rsidR="008238E6" w14:paraId="4FB5E9BA" w14:textId="77777777">
        <w:trPr>
          <w:trHeight w:val="454"/>
          <w:jc w:val="center"/>
        </w:trPr>
        <w:tc>
          <w:tcPr>
            <w:tcW w:w="9135" w:type="dxa"/>
            <w:gridSpan w:val="4"/>
            <w:shd w:val="clear" w:color="auto" w:fill="D9E2F3"/>
          </w:tcPr>
          <w:p w14:paraId="4FB5E9B9" w14:textId="77777777" w:rsidR="008238E6" w:rsidRDefault="00D61AB3">
            <w:pPr>
              <w:spacing w:before="120" w:after="120"/>
              <w:jc w:val="center"/>
              <w:rPr>
                <w:b/>
              </w:rPr>
            </w:pPr>
            <w:r>
              <w:rPr>
                <w:b/>
              </w:rPr>
              <w:t>Seleção de estudos</w:t>
            </w:r>
          </w:p>
        </w:tc>
      </w:tr>
      <w:tr w:rsidR="008238E6" w14:paraId="4FB5E9BF" w14:textId="77777777">
        <w:trPr>
          <w:trHeight w:val="454"/>
          <w:jc w:val="center"/>
        </w:trPr>
        <w:tc>
          <w:tcPr>
            <w:tcW w:w="1481" w:type="dxa"/>
            <w:shd w:val="clear" w:color="auto" w:fill="D9E2F3"/>
          </w:tcPr>
          <w:p w14:paraId="4FB5E9BB" w14:textId="77777777" w:rsidR="008238E6" w:rsidRDefault="00D61AB3">
            <w:pPr>
              <w:spacing w:before="120" w:after="120"/>
              <w:jc w:val="center"/>
              <w:rPr>
                <w:b/>
              </w:rPr>
            </w:pPr>
            <w:r>
              <w:rPr>
                <w:b/>
              </w:rPr>
              <w:t>Critérios</w:t>
            </w:r>
          </w:p>
        </w:tc>
        <w:tc>
          <w:tcPr>
            <w:tcW w:w="2268" w:type="dxa"/>
            <w:shd w:val="clear" w:color="auto" w:fill="D9E2F3"/>
          </w:tcPr>
          <w:p w14:paraId="4FB5E9BC" w14:textId="77777777" w:rsidR="008238E6" w:rsidRDefault="00D61AB3">
            <w:pPr>
              <w:spacing w:before="120" w:after="120"/>
              <w:jc w:val="center"/>
              <w:rPr>
                <w:b/>
              </w:rPr>
            </w:pPr>
            <w:r>
              <w:rPr>
                <w:b/>
              </w:rPr>
              <w:t>Proponente</w:t>
            </w:r>
          </w:p>
        </w:tc>
        <w:tc>
          <w:tcPr>
            <w:tcW w:w="2663" w:type="dxa"/>
            <w:shd w:val="clear" w:color="auto" w:fill="D9E2F3"/>
          </w:tcPr>
          <w:p w14:paraId="4FB5E9BD" w14:textId="77777777" w:rsidR="008238E6" w:rsidRDefault="00D61AB3">
            <w:pPr>
              <w:spacing w:before="120" w:after="120"/>
              <w:jc w:val="center"/>
              <w:rPr>
                <w:b/>
              </w:rPr>
            </w:pPr>
            <w:r>
              <w:rPr>
                <w:b/>
              </w:rPr>
              <w:t>Análise da proposta</w:t>
            </w:r>
          </w:p>
        </w:tc>
        <w:tc>
          <w:tcPr>
            <w:tcW w:w="2723" w:type="dxa"/>
            <w:shd w:val="clear" w:color="auto" w:fill="D9E2F3"/>
          </w:tcPr>
          <w:p w14:paraId="4FB5E9BE" w14:textId="77777777" w:rsidR="008238E6" w:rsidRDefault="00D61AB3">
            <w:pPr>
              <w:spacing w:before="120" w:after="120"/>
              <w:jc w:val="center"/>
              <w:rPr>
                <w:b/>
              </w:rPr>
            </w:pPr>
            <w:r>
              <w:rPr>
                <w:b/>
              </w:rPr>
              <w:t>Parecerista</w:t>
            </w:r>
          </w:p>
        </w:tc>
      </w:tr>
      <w:tr w:rsidR="008238E6" w14:paraId="4FB5E9C4" w14:textId="77777777">
        <w:trPr>
          <w:trHeight w:val="454"/>
          <w:jc w:val="center"/>
        </w:trPr>
        <w:tc>
          <w:tcPr>
            <w:tcW w:w="1481" w:type="dxa"/>
            <w:shd w:val="clear" w:color="auto" w:fill="auto"/>
          </w:tcPr>
          <w:p w14:paraId="4FB5E9C0" w14:textId="77777777" w:rsidR="008238E6" w:rsidRDefault="00D61AB3">
            <w:pPr>
              <w:spacing w:before="120" w:after="120"/>
              <w:jc w:val="center"/>
              <w:rPr>
                <w:b/>
              </w:rPr>
            </w:pPr>
            <w:r>
              <w:rPr>
                <w:b/>
              </w:rPr>
              <w:t>Plataforma</w:t>
            </w:r>
          </w:p>
        </w:tc>
        <w:tc>
          <w:tcPr>
            <w:tcW w:w="2268" w:type="dxa"/>
            <w:shd w:val="clear" w:color="auto" w:fill="auto"/>
          </w:tcPr>
          <w:p w14:paraId="4FB5E9C1" w14:textId="77777777" w:rsidR="008238E6" w:rsidRDefault="00D61AB3">
            <w:pPr>
              <w:spacing w:before="120" w:after="120"/>
              <w:jc w:val="center"/>
            </w:pPr>
            <w:r>
              <w:t>Rayyan</w:t>
            </w:r>
          </w:p>
        </w:tc>
        <w:tc>
          <w:tcPr>
            <w:tcW w:w="2663" w:type="dxa"/>
          </w:tcPr>
          <w:p w14:paraId="4FB5E9C2" w14:textId="77777777" w:rsidR="008238E6" w:rsidRDefault="00D61AB3">
            <w:pPr>
              <w:spacing w:before="120" w:after="120"/>
              <w:jc w:val="center"/>
            </w:pPr>
            <w:r>
              <w:t>Adequado</w:t>
            </w:r>
          </w:p>
        </w:tc>
        <w:tc>
          <w:tcPr>
            <w:tcW w:w="2723" w:type="dxa"/>
          </w:tcPr>
          <w:p w14:paraId="4FB5E9C3" w14:textId="77777777" w:rsidR="008238E6" w:rsidRDefault="00D61AB3">
            <w:pPr>
              <w:spacing w:before="120" w:after="120"/>
              <w:jc w:val="center"/>
            </w:pPr>
            <w:r>
              <w:t xml:space="preserve"> Rayyan</w:t>
            </w:r>
          </w:p>
        </w:tc>
      </w:tr>
      <w:tr w:rsidR="008238E6" w14:paraId="4FB5E9C9" w14:textId="77777777">
        <w:trPr>
          <w:trHeight w:val="454"/>
          <w:jc w:val="center"/>
        </w:trPr>
        <w:tc>
          <w:tcPr>
            <w:tcW w:w="1481" w:type="dxa"/>
            <w:shd w:val="clear" w:color="auto" w:fill="auto"/>
          </w:tcPr>
          <w:p w14:paraId="4FB5E9C5" w14:textId="77777777" w:rsidR="008238E6" w:rsidRDefault="00D61AB3">
            <w:pPr>
              <w:spacing w:before="120" w:after="120"/>
              <w:jc w:val="center"/>
              <w:rPr>
                <w:b/>
              </w:rPr>
            </w:pPr>
            <w:r>
              <w:rPr>
                <w:b/>
              </w:rPr>
              <w:t>Revisores envolvidos</w:t>
            </w:r>
          </w:p>
        </w:tc>
        <w:tc>
          <w:tcPr>
            <w:tcW w:w="2268" w:type="dxa"/>
            <w:shd w:val="clear" w:color="auto" w:fill="auto"/>
          </w:tcPr>
          <w:p w14:paraId="4FB5E9C6" w14:textId="77777777" w:rsidR="008238E6" w:rsidRDefault="00D61AB3">
            <w:pPr>
              <w:spacing w:before="120" w:after="120"/>
              <w:jc w:val="center"/>
            </w:pPr>
            <w:r>
              <w:t>Dois revisores de modo independente</w:t>
            </w:r>
          </w:p>
        </w:tc>
        <w:tc>
          <w:tcPr>
            <w:tcW w:w="2663" w:type="dxa"/>
          </w:tcPr>
          <w:p w14:paraId="4FB5E9C7" w14:textId="77777777" w:rsidR="008238E6" w:rsidRDefault="00D61AB3">
            <w:pPr>
              <w:spacing w:before="120" w:after="120"/>
              <w:jc w:val="center"/>
            </w:pPr>
            <w:r>
              <w:t>Adequado</w:t>
            </w:r>
          </w:p>
        </w:tc>
        <w:tc>
          <w:tcPr>
            <w:tcW w:w="2723" w:type="dxa"/>
          </w:tcPr>
          <w:p w14:paraId="4FB5E9C8" w14:textId="77777777" w:rsidR="008238E6" w:rsidRDefault="00D61AB3">
            <w:pPr>
              <w:spacing w:before="120" w:after="120"/>
              <w:jc w:val="center"/>
            </w:pPr>
            <w:r>
              <w:t>Um revisor</w:t>
            </w:r>
          </w:p>
        </w:tc>
      </w:tr>
      <w:tr w:rsidR="008238E6" w14:paraId="4FB5E9CE" w14:textId="77777777">
        <w:trPr>
          <w:trHeight w:val="454"/>
          <w:jc w:val="center"/>
        </w:trPr>
        <w:tc>
          <w:tcPr>
            <w:tcW w:w="1481" w:type="dxa"/>
            <w:tcBorders>
              <w:bottom w:val="single" w:sz="4" w:space="0" w:color="000000"/>
            </w:tcBorders>
            <w:shd w:val="clear" w:color="auto" w:fill="auto"/>
          </w:tcPr>
          <w:p w14:paraId="4FB5E9CA" w14:textId="77777777" w:rsidR="008238E6" w:rsidRDefault="00D61AB3">
            <w:pPr>
              <w:spacing w:before="120" w:after="120"/>
              <w:jc w:val="center"/>
              <w:rPr>
                <w:b/>
              </w:rPr>
            </w:pPr>
            <w:r>
              <w:rPr>
                <w:b/>
              </w:rPr>
              <w:t>Resolução divergências</w:t>
            </w:r>
          </w:p>
        </w:tc>
        <w:tc>
          <w:tcPr>
            <w:tcW w:w="2268" w:type="dxa"/>
            <w:tcBorders>
              <w:bottom w:val="single" w:sz="4" w:space="0" w:color="000000"/>
            </w:tcBorders>
            <w:shd w:val="clear" w:color="auto" w:fill="auto"/>
          </w:tcPr>
          <w:p w14:paraId="4FB5E9CB" w14:textId="77777777" w:rsidR="008238E6" w:rsidRDefault="00D61AB3">
            <w:pPr>
              <w:spacing w:before="120" w:after="120"/>
              <w:jc w:val="center"/>
            </w:pPr>
            <w:r>
              <w:t>Consenso</w:t>
            </w:r>
          </w:p>
        </w:tc>
        <w:tc>
          <w:tcPr>
            <w:tcW w:w="2663" w:type="dxa"/>
            <w:tcBorders>
              <w:bottom w:val="single" w:sz="4" w:space="0" w:color="000000"/>
            </w:tcBorders>
          </w:tcPr>
          <w:p w14:paraId="4FB5E9CC" w14:textId="77777777" w:rsidR="008238E6" w:rsidRDefault="00D61AB3">
            <w:pPr>
              <w:spacing w:before="120" w:after="120"/>
              <w:jc w:val="center"/>
            </w:pPr>
            <w:r>
              <w:t>Adequado</w:t>
            </w:r>
          </w:p>
        </w:tc>
        <w:tc>
          <w:tcPr>
            <w:tcW w:w="2723" w:type="dxa"/>
            <w:tcBorders>
              <w:bottom w:val="single" w:sz="4" w:space="0" w:color="000000"/>
            </w:tcBorders>
          </w:tcPr>
          <w:p w14:paraId="4FB5E9CD" w14:textId="77777777" w:rsidR="008238E6" w:rsidRDefault="00D61AB3">
            <w:pPr>
              <w:spacing w:before="120" w:after="120"/>
              <w:jc w:val="center"/>
            </w:pPr>
            <w:r>
              <w:t xml:space="preserve">Resolvidas em reunião com grupo avaliador </w:t>
            </w:r>
          </w:p>
        </w:tc>
      </w:tr>
      <w:tr w:rsidR="008238E6" w14:paraId="4FB5E9D0" w14:textId="77777777">
        <w:trPr>
          <w:trHeight w:val="454"/>
          <w:jc w:val="center"/>
        </w:trPr>
        <w:tc>
          <w:tcPr>
            <w:tcW w:w="9135" w:type="dxa"/>
            <w:gridSpan w:val="4"/>
            <w:tcBorders>
              <w:bottom w:val="single" w:sz="4" w:space="0" w:color="000000"/>
            </w:tcBorders>
            <w:shd w:val="clear" w:color="auto" w:fill="D9E2F3"/>
          </w:tcPr>
          <w:p w14:paraId="4FB5E9CF" w14:textId="77777777" w:rsidR="008238E6" w:rsidRDefault="00D61AB3">
            <w:pPr>
              <w:spacing w:before="120" w:after="120"/>
              <w:jc w:val="center"/>
              <w:rPr>
                <w:b/>
                <w:highlight w:val="yellow"/>
              </w:rPr>
            </w:pPr>
            <w:r>
              <w:rPr>
                <w:b/>
              </w:rPr>
              <w:t>Extração de dados</w:t>
            </w:r>
          </w:p>
        </w:tc>
      </w:tr>
      <w:tr w:rsidR="008238E6" w14:paraId="4FB5E9D5" w14:textId="77777777">
        <w:trPr>
          <w:trHeight w:val="454"/>
          <w:jc w:val="center"/>
        </w:trPr>
        <w:tc>
          <w:tcPr>
            <w:tcW w:w="1481" w:type="dxa"/>
            <w:shd w:val="clear" w:color="auto" w:fill="D9E2F3"/>
          </w:tcPr>
          <w:p w14:paraId="4FB5E9D1" w14:textId="77777777" w:rsidR="008238E6" w:rsidRDefault="00D61AB3">
            <w:pPr>
              <w:spacing w:before="120" w:after="120"/>
              <w:jc w:val="center"/>
              <w:rPr>
                <w:b/>
              </w:rPr>
            </w:pPr>
            <w:r>
              <w:rPr>
                <w:b/>
              </w:rPr>
              <w:t>Critérios</w:t>
            </w:r>
          </w:p>
        </w:tc>
        <w:tc>
          <w:tcPr>
            <w:tcW w:w="2268" w:type="dxa"/>
            <w:shd w:val="clear" w:color="auto" w:fill="D9E2F3"/>
          </w:tcPr>
          <w:p w14:paraId="4FB5E9D2" w14:textId="77777777" w:rsidR="008238E6" w:rsidRDefault="00D61AB3">
            <w:pPr>
              <w:spacing w:before="120" w:after="120"/>
              <w:jc w:val="center"/>
              <w:rPr>
                <w:b/>
              </w:rPr>
            </w:pPr>
            <w:r>
              <w:rPr>
                <w:b/>
              </w:rPr>
              <w:t>Proponente</w:t>
            </w:r>
          </w:p>
        </w:tc>
        <w:tc>
          <w:tcPr>
            <w:tcW w:w="2663" w:type="dxa"/>
            <w:shd w:val="clear" w:color="auto" w:fill="D9E2F3"/>
          </w:tcPr>
          <w:p w14:paraId="4FB5E9D3" w14:textId="77777777" w:rsidR="008238E6" w:rsidRDefault="00D61AB3">
            <w:pPr>
              <w:spacing w:before="120" w:after="120"/>
              <w:jc w:val="center"/>
              <w:rPr>
                <w:b/>
              </w:rPr>
            </w:pPr>
            <w:r>
              <w:rPr>
                <w:b/>
              </w:rPr>
              <w:t>Análise da proposta</w:t>
            </w:r>
          </w:p>
        </w:tc>
        <w:tc>
          <w:tcPr>
            <w:tcW w:w="2723" w:type="dxa"/>
            <w:shd w:val="clear" w:color="auto" w:fill="D9E2F3"/>
          </w:tcPr>
          <w:p w14:paraId="4FB5E9D4" w14:textId="77777777" w:rsidR="008238E6" w:rsidRDefault="00D61AB3">
            <w:pPr>
              <w:spacing w:before="120" w:after="120"/>
              <w:jc w:val="center"/>
              <w:rPr>
                <w:b/>
              </w:rPr>
            </w:pPr>
            <w:r>
              <w:rPr>
                <w:b/>
              </w:rPr>
              <w:t>Parecerista</w:t>
            </w:r>
          </w:p>
        </w:tc>
      </w:tr>
      <w:tr w:rsidR="008238E6" w14:paraId="4FB5E9DA" w14:textId="77777777">
        <w:trPr>
          <w:trHeight w:val="454"/>
          <w:jc w:val="center"/>
        </w:trPr>
        <w:tc>
          <w:tcPr>
            <w:tcW w:w="1481" w:type="dxa"/>
            <w:shd w:val="clear" w:color="auto" w:fill="auto"/>
          </w:tcPr>
          <w:p w14:paraId="4FB5E9D6" w14:textId="77777777" w:rsidR="008238E6" w:rsidRDefault="00D61AB3">
            <w:pPr>
              <w:spacing w:before="120" w:after="120"/>
              <w:jc w:val="center"/>
              <w:rPr>
                <w:b/>
              </w:rPr>
            </w:pPr>
            <w:r>
              <w:rPr>
                <w:b/>
              </w:rPr>
              <w:t>Organização dos dados</w:t>
            </w:r>
          </w:p>
        </w:tc>
        <w:tc>
          <w:tcPr>
            <w:tcW w:w="2268" w:type="dxa"/>
            <w:shd w:val="clear" w:color="auto" w:fill="auto"/>
          </w:tcPr>
          <w:p w14:paraId="4FB5E9D7" w14:textId="77777777" w:rsidR="008238E6" w:rsidRDefault="00D61AB3">
            <w:pPr>
              <w:spacing w:before="120" w:after="120"/>
              <w:jc w:val="center"/>
            </w:pPr>
            <w:r>
              <w:t>Não mencionado</w:t>
            </w:r>
          </w:p>
        </w:tc>
        <w:tc>
          <w:tcPr>
            <w:tcW w:w="2663" w:type="dxa"/>
          </w:tcPr>
          <w:p w14:paraId="4FB5E9D8" w14:textId="77777777" w:rsidR="008238E6" w:rsidRDefault="00D61AB3">
            <w:pPr>
              <w:spacing w:before="120" w:after="120"/>
              <w:jc w:val="center"/>
            </w:pPr>
            <w:r>
              <w:t>Inadequado</w:t>
            </w:r>
          </w:p>
        </w:tc>
        <w:tc>
          <w:tcPr>
            <w:tcW w:w="2723" w:type="dxa"/>
          </w:tcPr>
          <w:p w14:paraId="4FB5E9D9" w14:textId="77777777" w:rsidR="008238E6" w:rsidRDefault="00D61AB3">
            <w:pPr>
              <w:spacing w:before="120" w:after="120"/>
              <w:jc w:val="center"/>
              <w:rPr>
                <w:b/>
              </w:rPr>
            </w:pPr>
            <w:r>
              <w:t>Microsoft Excel</w:t>
            </w:r>
          </w:p>
        </w:tc>
      </w:tr>
      <w:tr w:rsidR="008238E6" w14:paraId="4FB5E9DF" w14:textId="77777777">
        <w:trPr>
          <w:trHeight w:val="454"/>
          <w:jc w:val="center"/>
        </w:trPr>
        <w:tc>
          <w:tcPr>
            <w:tcW w:w="1481" w:type="dxa"/>
            <w:shd w:val="clear" w:color="auto" w:fill="auto"/>
          </w:tcPr>
          <w:p w14:paraId="4FB5E9DB" w14:textId="77777777" w:rsidR="008238E6" w:rsidRDefault="00D61AB3">
            <w:pPr>
              <w:spacing w:before="120" w:after="120"/>
              <w:jc w:val="center"/>
              <w:rPr>
                <w:b/>
              </w:rPr>
            </w:pPr>
            <w:r>
              <w:rPr>
                <w:b/>
              </w:rPr>
              <w:t>Revisores envolvidos</w:t>
            </w:r>
          </w:p>
        </w:tc>
        <w:tc>
          <w:tcPr>
            <w:tcW w:w="2268" w:type="dxa"/>
            <w:shd w:val="clear" w:color="auto" w:fill="auto"/>
          </w:tcPr>
          <w:p w14:paraId="4FB5E9DC" w14:textId="77777777" w:rsidR="008238E6" w:rsidRDefault="00D61AB3">
            <w:pPr>
              <w:spacing w:before="120" w:after="120"/>
              <w:jc w:val="center"/>
            </w:pPr>
            <w:r>
              <w:t>Não informado</w:t>
            </w:r>
          </w:p>
        </w:tc>
        <w:tc>
          <w:tcPr>
            <w:tcW w:w="2663" w:type="dxa"/>
          </w:tcPr>
          <w:p w14:paraId="4FB5E9DD" w14:textId="77777777" w:rsidR="008238E6" w:rsidRDefault="00D61AB3">
            <w:pPr>
              <w:spacing w:before="120" w:after="120"/>
              <w:jc w:val="center"/>
            </w:pPr>
            <w:r>
              <w:t>Inadequado</w:t>
            </w:r>
          </w:p>
        </w:tc>
        <w:tc>
          <w:tcPr>
            <w:tcW w:w="2723" w:type="dxa"/>
          </w:tcPr>
          <w:p w14:paraId="4FB5E9DE" w14:textId="77777777" w:rsidR="008238E6" w:rsidRDefault="00D61AB3">
            <w:pPr>
              <w:spacing w:before="120" w:after="120"/>
              <w:jc w:val="center"/>
              <w:rPr>
                <w:highlight w:val="yellow"/>
              </w:rPr>
            </w:pPr>
            <w:r>
              <w:t>Um revisor</w:t>
            </w:r>
          </w:p>
        </w:tc>
      </w:tr>
      <w:tr w:rsidR="008238E6" w14:paraId="4FB5E9E4" w14:textId="77777777">
        <w:trPr>
          <w:trHeight w:val="454"/>
          <w:jc w:val="center"/>
        </w:trPr>
        <w:tc>
          <w:tcPr>
            <w:tcW w:w="1481" w:type="dxa"/>
            <w:shd w:val="clear" w:color="auto" w:fill="auto"/>
          </w:tcPr>
          <w:p w14:paraId="4FB5E9E0" w14:textId="77777777" w:rsidR="008238E6" w:rsidRDefault="00D61AB3">
            <w:pPr>
              <w:spacing w:before="120" w:after="120"/>
              <w:jc w:val="center"/>
              <w:rPr>
                <w:b/>
              </w:rPr>
            </w:pPr>
            <w:r>
              <w:rPr>
                <w:b/>
              </w:rPr>
              <w:t>Resolução divergências</w:t>
            </w:r>
          </w:p>
        </w:tc>
        <w:tc>
          <w:tcPr>
            <w:tcW w:w="2268" w:type="dxa"/>
            <w:shd w:val="clear" w:color="auto" w:fill="auto"/>
          </w:tcPr>
          <w:p w14:paraId="4FB5E9E1" w14:textId="77777777" w:rsidR="008238E6" w:rsidRDefault="00D61AB3">
            <w:pPr>
              <w:spacing w:before="120" w:after="120"/>
              <w:jc w:val="center"/>
            </w:pPr>
            <w:r>
              <w:t>Não informado</w:t>
            </w:r>
          </w:p>
        </w:tc>
        <w:tc>
          <w:tcPr>
            <w:tcW w:w="2663" w:type="dxa"/>
          </w:tcPr>
          <w:p w14:paraId="4FB5E9E2" w14:textId="77777777" w:rsidR="008238E6" w:rsidRDefault="00D61AB3">
            <w:pPr>
              <w:spacing w:before="120" w:after="120"/>
              <w:jc w:val="center"/>
            </w:pPr>
            <w:r>
              <w:t>Inadequado</w:t>
            </w:r>
          </w:p>
        </w:tc>
        <w:tc>
          <w:tcPr>
            <w:tcW w:w="2723" w:type="dxa"/>
            <w:tcBorders>
              <w:bottom w:val="single" w:sz="4" w:space="0" w:color="000000"/>
            </w:tcBorders>
          </w:tcPr>
          <w:p w14:paraId="4FB5E9E3" w14:textId="77777777" w:rsidR="008238E6" w:rsidRDefault="00D61AB3">
            <w:pPr>
              <w:spacing w:before="120" w:after="120"/>
              <w:jc w:val="center"/>
            </w:pPr>
            <w:r>
              <w:t xml:space="preserve">Resolvidas em reunião com grupo avaliador </w:t>
            </w:r>
          </w:p>
        </w:tc>
      </w:tr>
    </w:tbl>
    <w:p w14:paraId="4FB5E9E5" w14:textId="77777777" w:rsidR="008238E6" w:rsidRDefault="008238E6">
      <w:pPr>
        <w:rPr>
          <w:smallCaps/>
          <w:highlight w:val="cyan"/>
        </w:rPr>
      </w:pPr>
    </w:p>
    <w:tbl>
      <w:tblPr>
        <w:tblStyle w:val="afffff8"/>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9E7" w14:textId="77777777">
        <w:trPr>
          <w:trHeight w:val="416"/>
        </w:trPr>
        <w:tc>
          <w:tcPr>
            <w:tcW w:w="9072" w:type="dxa"/>
            <w:shd w:val="clear" w:color="auto" w:fill="D9E2F3"/>
            <w:vAlign w:val="center"/>
          </w:tcPr>
          <w:p w14:paraId="4FB5E9E6" w14:textId="77777777" w:rsidR="008238E6" w:rsidRDefault="00D61AB3">
            <w:pPr>
              <w:spacing w:before="120" w:after="120"/>
              <w:jc w:val="center"/>
              <w:rPr>
                <w:b/>
              </w:rPr>
            </w:pPr>
            <w:r>
              <w:rPr>
                <w:b/>
              </w:rPr>
              <w:t>Comentários gerais sobre o</w:t>
            </w:r>
            <w:r>
              <w:t xml:space="preserve"> </w:t>
            </w:r>
            <w:r>
              <w:rPr>
                <w:b/>
              </w:rPr>
              <w:t>processo de seleção dos estudos e extração de dados</w:t>
            </w:r>
          </w:p>
        </w:tc>
      </w:tr>
      <w:tr w:rsidR="008238E6" w14:paraId="4FB5E9E9" w14:textId="77777777">
        <w:trPr>
          <w:trHeight w:val="750"/>
        </w:trPr>
        <w:tc>
          <w:tcPr>
            <w:tcW w:w="9072" w:type="dxa"/>
            <w:vAlign w:val="center"/>
          </w:tcPr>
          <w:p w14:paraId="4FB5E9E8" w14:textId="07173022" w:rsidR="008238E6" w:rsidRDefault="00D61AB3">
            <w:pPr>
              <w:spacing w:before="120" w:after="120"/>
            </w:pPr>
            <w:r>
              <w:t>Conforme recomendado nas Diretrizes Metodológicas - Elaboração de Pareceres Técnico-Científicos (1ª edição eletrônica com atualizações da 4ª edição impressa), o processo de seleção dos estudos precisa ser realizado de forma transparente e facilitado pelo uso de ferramentas gratuitas (exemplo: plataforma Rayyan) e comerciais (exemplos:</w:t>
            </w:r>
            <w:r w:rsidR="00163D31">
              <w:t xml:space="preserve"> </w:t>
            </w:r>
            <w:r>
              <w:t>Covidence, EPPI-Reviewer etc.).</w:t>
            </w:r>
            <w:r w:rsidR="00163D31">
              <w:t xml:space="preserve"> </w:t>
            </w:r>
            <w:r>
              <w:t>Além disso, é recomendado por este documento que as discordâncias sejam resolvidas por consenso ou por um terceiro avaliador (essa sugestão se estende tanto para a fase de triagem de títulos e resumos como para a fase de leitura completa). A fase de seleção dos estudos apresentados pelo PROPONENTE foi considerada adequada, porém o processo de extração de dados foi considerado inadequado, visto que o PROPONENTE não mencionou a plataforma da organização de dados e nem os revisores envolvidos ou como foram resolvidas as divergências.</w:t>
            </w:r>
          </w:p>
        </w:tc>
      </w:tr>
    </w:tbl>
    <w:p w14:paraId="4FB5E9EA" w14:textId="77777777" w:rsidR="008238E6" w:rsidRDefault="008238E6">
      <w:pPr>
        <w:rPr>
          <w:smallCaps/>
          <w:highlight w:val="cyan"/>
        </w:rPr>
      </w:pPr>
    </w:p>
    <w:p w14:paraId="4FB5E9EB" w14:textId="77777777" w:rsidR="008238E6" w:rsidRDefault="008238E6">
      <w:pPr>
        <w:jc w:val="center"/>
        <w:rPr>
          <w:b/>
        </w:rPr>
      </w:pPr>
    </w:p>
    <w:p w14:paraId="4FB5E9EC" w14:textId="77777777" w:rsidR="008238E6" w:rsidRDefault="008238E6">
      <w:pPr>
        <w:jc w:val="center"/>
        <w:rPr>
          <w:b/>
        </w:rPr>
      </w:pPr>
    </w:p>
    <w:p w14:paraId="4FB5E9ED" w14:textId="77777777" w:rsidR="008238E6" w:rsidRDefault="008238E6">
      <w:pPr>
        <w:jc w:val="center"/>
        <w:rPr>
          <w:b/>
        </w:rPr>
      </w:pPr>
    </w:p>
    <w:p w14:paraId="4FB5E9EE" w14:textId="77777777" w:rsidR="008238E6" w:rsidRDefault="00D61AB3">
      <w:pPr>
        <w:jc w:val="center"/>
        <w:rPr>
          <w:b/>
        </w:rPr>
      </w:pPr>
      <w:r>
        <w:br w:type="page"/>
      </w:r>
    </w:p>
    <w:p w14:paraId="4FB5E9EF" w14:textId="77777777" w:rsidR="008238E6" w:rsidRDefault="00D61AB3">
      <w:pPr>
        <w:pStyle w:val="Heading3"/>
        <w:jc w:val="center"/>
      </w:pPr>
      <w:bookmarkStart w:id="30" w:name="_heading=h.x038yw8fdv8x" w:colFirst="0" w:colLast="0"/>
      <w:bookmarkEnd w:id="30"/>
      <w:r>
        <w:rPr>
          <w:b/>
        </w:rPr>
        <w:t>Figura 2.</w:t>
      </w:r>
      <w:r>
        <w:t xml:space="preserve"> Fluxograma da seleção dos estudos apresentado pelo PROPONENTE.</w:t>
      </w:r>
    </w:p>
    <w:p w14:paraId="4FB5E9F0" w14:textId="77777777" w:rsidR="008238E6" w:rsidRDefault="00D61AB3">
      <w:pPr>
        <w:jc w:val="center"/>
        <w:rPr>
          <w:b/>
        </w:rPr>
      </w:pPr>
      <w:r>
        <w:rPr>
          <w:noProof/>
        </w:rPr>
        <w:drawing>
          <wp:inline distT="114300" distB="114300" distL="114300" distR="114300" wp14:anchorId="4FB5F34B" wp14:editId="4FB5F34C">
            <wp:extent cx="5759140" cy="5537200"/>
            <wp:effectExtent l="0" t="0" r="0" b="0"/>
            <wp:docPr id="6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5759140" cy="5537200"/>
                    </a:xfrm>
                    <a:prstGeom prst="rect">
                      <a:avLst/>
                    </a:prstGeom>
                    <a:ln/>
                  </pic:spPr>
                </pic:pic>
              </a:graphicData>
            </a:graphic>
          </wp:inline>
        </w:drawing>
      </w:r>
      <w:r>
        <w:br w:type="page"/>
      </w:r>
    </w:p>
    <w:p w14:paraId="4FB5E9F1" w14:textId="77777777" w:rsidR="008238E6" w:rsidRDefault="00D61AB3">
      <w:pPr>
        <w:pStyle w:val="Heading3"/>
        <w:jc w:val="center"/>
      </w:pPr>
      <w:bookmarkStart w:id="31" w:name="_heading=h.m9senumo09kc" w:colFirst="0" w:colLast="0"/>
      <w:bookmarkEnd w:id="31"/>
      <w:r>
        <w:rPr>
          <w:b/>
        </w:rPr>
        <w:t>Figura 3.</w:t>
      </w:r>
      <w:r>
        <w:t xml:space="preserve">  Fluxograma da seleção dos estudos, versão do PARECERISTA.</w:t>
      </w:r>
      <w:r>
        <w:rPr>
          <w:noProof/>
        </w:rPr>
        <mc:AlternateContent>
          <mc:Choice Requires="wpg">
            <w:drawing>
              <wp:anchor distT="0" distB="0" distL="114300" distR="114300" simplePos="0" relativeHeight="251658242" behindDoc="0" locked="0" layoutInCell="1" hidden="0" allowOverlap="1" wp14:anchorId="4FB5F34D" wp14:editId="4FB5F34E">
                <wp:simplePos x="0" y="0"/>
                <wp:positionH relativeFrom="column">
                  <wp:posOffset>-419099</wp:posOffset>
                </wp:positionH>
                <wp:positionV relativeFrom="paragraph">
                  <wp:posOffset>228600</wp:posOffset>
                </wp:positionV>
                <wp:extent cx="6610350" cy="7326000"/>
                <wp:effectExtent l="0" t="0" r="0" b="0"/>
                <wp:wrapSquare wrapText="bothSides" distT="0" distB="0" distL="114300" distR="114300"/>
                <wp:docPr id="48" name="Agrupar 48"/>
                <wp:cNvGraphicFramePr/>
                <a:graphic xmlns:a="http://schemas.openxmlformats.org/drawingml/2006/main">
                  <a:graphicData uri="http://schemas.microsoft.com/office/word/2010/wordprocessingGroup">
                    <wpg:wgp>
                      <wpg:cNvGrpSpPr/>
                      <wpg:grpSpPr>
                        <a:xfrm>
                          <a:off x="0" y="0"/>
                          <a:ext cx="6610350" cy="7326000"/>
                          <a:chOff x="2040750" y="117000"/>
                          <a:chExt cx="6610500" cy="7326000"/>
                        </a:xfrm>
                      </wpg:grpSpPr>
                      <wpg:grpSp>
                        <wpg:cNvPr id="1294504845" name="Agrupar 1294504845"/>
                        <wpg:cNvGrpSpPr/>
                        <wpg:grpSpPr>
                          <a:xfrm>
                            <a:off x="2040825" y="117000"/>
                            <a:ext cx="6610350" cy="7326000"/>
                            <a:chOff x="1976200" y="82700"/>
                            <a:chExt cx="6681325" cy="7394600"/>
                          </a:xfrm>
                        </wpg:grpSpPr>
                        <wps:wsp>
                          <wps:cNvPr id="862306030" name="Retângulo 862306030"/>
                          <wps:cNvSpPr/>
                          <wps:spPr>
                            <a:xfrm>
                              <a:off x="1976200" y="82700"/>
                              <a:ext cx="6681325" cy="7394600"/>
                            </a:xfrm>
                            <a:prstGeom prst="rect">
                              <a:avLst/>
                            </a:prstGeom>
                            <a:noFill/>
                            <a:ln>
                              <a:noFill/>
                            </a:ln>
                          </wps:spPr>
                          <wps:txbx>
                            <w:txbxContent>
                              <w:p w14:paraId="4FB5F38C" w14:textId="77777777" w:rsidR="008238E6" w:rsidRDefault="008238E6">
                                <w:pPr>
                                  <w:spacing w:before="0" w:after="0" w:line="240" w:lineRule="auto"/>
                                  <w:jc w:val="left"/>
                                  <w:textDirection w:val="btLr"/>
                                </w:pPr>
                              </w:p>
                            </w:txbxContent>
                          </wps:txbx>
                          <wps:bodyPr spcFirstLastPara="1" wrap="square" lIns="91425" tIns="91425" rIns="91425" bIns="91425" anchor="ctr" anchorCtr="0">
                            <a:noAutofit/>
                          </wps:bodyPr>
                        </wps:wsp>
                        <wpg:grpSp>
                          <wpg:cNvPr id="744210750" name="Agrupar 744210750"/>
                          <wpg:cNvGrpSpPr/>
                          <wpg:grpSpPr>
                            <a:xfrm>
                              <a:off x="1982566" y="82713"/>
                              <a:ext cx="6668610" cy="7394575"/>
                              <a:chOff x="-58260" y="0"/>
                              <a:chExt cx="6668610" cy="7394575"/>
                            </a:xfrm>
                          </wpg:grpSpPr>
                          <wps:wsp>
                            <wps:cNvPr id="1542366036" name="Retângulo 1542366036"/>
                            <wps:cNvSpPr/>
                            <wps:spPr>
                              <a:xfrm>
                                <a:off x="0" y="0"/>
                                <a:ext cx="6610350" cy="7394575"/>
                              </a:xfrm>
                              <a:prstGeom prst="rect">
                                <a:avLst/>
                              </a:prstGeom>
                              <a:noFill/>
                              <a:ln>
                                <a:noFill/>
                              </a:ln>
                            </wps:spPr>
                            <wps:txbx>
                              <w:txbxContent>
                                <w:p w14:paraId="4FB5F38D" w14:textId="77777777" w:rsidR="008238E6" w:rsidRDefault="008238E6">
                                  <w:pPr>
                                    <w:spacing w:before="0" w:after="0" w:line="240" w:lineRule="auto"/>
                                    <w:jc w:val="left"/>
                                    <w:textDirection w:val="btLr"/>
                                  </w:pPr>
                                </w:p>
                              </w:txbxContent>
                            </wps:txbx>
                            <wps:bodyPr spcFirstLastPara="1" wrap="square" lIns="91425" tIns="91425" rIns="91425" bIns="91425" anchor="ctr" anchorCtr="0">
                              <a:noAutofit/>
                            </wps:bodyPr>
                          </wps:wsp>
                          <wps:wsp>
                            <wps:cNvPr id="1750083489" name="Retângulo: Cantos Arredondados 1750083489"/>
                            <wps:cNvSpPr/>
                            <wps:spPr>
                              <a:xfrm rot="-5400000">
                                <a:off x="-251908" y="6364950"/>
                                <a:ext cx="1116939" cy="729642"/>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4FB5F38E" w14:textId="77777777" w:rsidR="008238E6" w:rsidRDefault="00D61AB3">
                                  <w:pPr>
                                    <w:jc w:val="center"/>
                                    <w:textDirection w:val="btLr"/>
                                  </w:pPr>
                                  <w:r>
                                    <w:rPr>
                                      <w:b/>
                                      <w:color w:val="000000"/>
                                    </w:rPr>
                                    <w:t>Inclusão</w:t>
                                  </w:r>
                                </w:p>
                              </w:txbxContent>
                            </wps:txbx>
                            <wps:bodyPr spcFirstLastPara="1" wrap="square" lIns="88900" tIns="38100" rIns="88900" bIns="38100" anchor="t" anchorCtr="0">
                              <a:noAutofit/>
                            </wps:bodyPr>
                          </wps:wsp>
                          <wps:wsp>
                            <wps:cNvPr id="430188905" name="Retângulo: Cantos Arredondados 430188905"/>
                            <wps:cNvSpPr/>
                            <wps:spPr>
                              <a:xfrm rot="-5400000">
                                <a:off x="-523267" y="4604973"/>
                                <a:ext cx="1675409" cy="710893"/>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4FB5F38F" w14:textId="77777777" w:rsidR="008238E6" w:rsidRDefault="00D61AB3">
                                  <w:pPr>
                                    <w:jc w:val="center"/>
                                    <w:textDirection w:val="btLr"/>
                                  </w:pPr>
                                  <w:r>
                                    <w:rPr>
                                      <w:b/>
                                      <w:color w:val="000000"/>
                                    </w:rPr>
                                    <w:t>Elegibilidade</w:t>
                                  </w:r>
                                </w:p>
                              </w:txbxContent>
                            </wps:txbx>
                            <wps:bodyPr spcFirstLastPara="1" wrap="square" lIns="88900" tIns="38100" rIns="88900" bIns="38100" anchor="t" anchorCtr="0">
                              <a:noAutofit/>
                            </wps:bodyPr>
                          </wps:wsp>
                          <wps:wsp>
                            <wps:cNvPr id="747849295" name="Retângulo 747849295"/>
                            <wps:cNvSpPr/>
                            <wps:spPr>
                              <a:xfrm>
                                <a:off x="2126242" y="4110117"/>
                                <a:ext cx="2148199" cy="833329"/>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0" w14:textId="77777777" w:rsidR="008238E6" w:rsidRDefault="00D61AB3">
                                  <w:pPr>
                                    <w:spacing w:before="0" w:after="0" w:line="240" w:lineRule="auto"/>
                                    <w:jc w:val="center"/>
                                    <w:textDirection w:val="btLr"/>
                                  </w:pPr>
                                  <w:r>
                                    <w:rPr>
                                      <w:color w:val="000000"/>
                                    </w:rPr>
                                    <w:t>Referências selecionadas para avaliação do texto completo</w:t>
                                  </w:r>
                                </w:p>
                                <w:p w14:paraId="4FB5F391" w14:textId="77777777" w:rsidR="008238E6" w:rsidRDefault="00D61AB3">
                                  <w:pPr>
                                    <w:spacing w:before="0" w:after="0" w:line="240" w:lineRule="auto"/>
                                    <w:jc w:val="center"/>
                                    <w:textDirection w:val="btLr"/>
                                  </w:pPr>
                                  <w:r>
                                    <w:rPr>
                                      <w:color w:val="000000"/>
                                    </w:rPr>
                                    <w:t>(n = 13)</w:t>
                                  </w:r>
                                </w:p>
                              </w:txbxContent>
                            </wps:txbx>
                            <wps:bodyPr spcFirstLastPara="1" wrap="square" lIns="88900" tIns="38100" rIns="88900" bIns="38100" anchor="t" anchorCtr="0">
                              <a:noAutofit/>
                            </wps:bodyPr>
                          </wps:wsp>
                          <wps:wsp>
                            <wps:cNvPr id="532558814" name="Forma Livre: Forma 532558814"/>
                            <wps:cNvSpPr/>
                            <wps:spPr>
                              <a:xfrm>
                                <a:off x="3104161" y="5151104"/>
                                <a:ext cx="0" cy="1313413"/>
                              </a:xfrm>
                              <a:custGeom>
                                <a:avLst/>
                                <a:gdLst/>
                                <a:ahLst/>
                                <a:cxnLst/>
                                <a:rect l="l" t="t" r="r" b="b"/>
                                <a:pathLst>
                                  <a:path w="1" h="1313413" extrusionOk="0">
                                    <a:moveTo>
                                      <a:pt x="0" y="0"/>
                                    </a:moveTo>
                                    <a:lnTo>
                                      <a:pt x="0" y="1313413"/>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837667375" name="Forma Livre: Forma 1837667375"/>
                            <wps:cNvSpPr/>
                            <wps:spPr>
                              <a:xfrm>
                                <a:off x="3104161" y="5709166"/>
                                <a:ext cx="1295697" cy="0"/>
                              </a:xfrm>
                              <a:custGeom>
                                <a:avLst/>
                                <a:gdLst/>
                                <a:ahLst/>
                                <a:cxnLst/>
                                <a:rect l="l" t="t" r="r" b="b"/>
                                <a:pathLst>
                                  <a:path w="1295697" h="1" extrusionOk="0">
                                    <a:moveTo>
                                      <a:pt x="0" y="0"/>
                                    </a:moveTo>
                                    <a:lnTo>
                                      <a:pt x="1295697" y="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339950131" name="Retângulo: Cantos Arredondados 339950131"/>
                            <wps:cNvSpPr/>
                            <wps:spPr>
                              <a:xfrm rot="-5400000">
                                <a:off x="-494150" y="2536208"/>
                                <a:ext cx="1623142" cy="703792"/>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4FB5F392" w14:textId="77777777" w:rsidR="008238E6" w:rsidRDefault="00D61AB3">
                                  <w:pPr>
                                    <w:jc w:val="center"/>
                                    <w:textDirection w:val="btLr"/>
                                  </w:pPr>
                                  <w:r>
                                    <w:rPr>
                                      <w:b/>
                                      <w:color w:val="000000"/>
                                    </w:rPr>
                                    <w:t>Triagem</w:t>
                                  </w:r>
                                </w:p>
                              </w:txbxContent>
                            </wps:txbx>
                            <wps:bodyPr spcFirstLastPara="1" wrap="square" lIns="88900" tIns="38100" rIns="88900" bIns="38100" anchor="t" anchorCtr="0">
                              <a:noAutofit/>
                            </wps:bodyPr>
                          </wps:wsp>
                          <wps:wsp>
                            <wps:cNvPr id="1518076951" name="Retângulo: Cantos Arredondados 1518076951"/>
                            <wps:cNvSpPr/>
                            <wps:spPr>
                              <a:xfrm rot="-5400000">
                                <a:off x="-473148" y="587748"/>
                                <a:ext cx="1528751" cy="644278"/>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4FB5F393" w14:textId="77777777" w:rsidR="008238E6" w:rsidRDefault="00D61AB3">
                                  <w:pPr>
                                    <w:jc w:val="center"/>
                                    <w:textDirection w:val="btLr"/>
                                  </w:pPr>
                                  <w:r>
                                    <w:rPr>
                                      <w:b/>
                                      <w:color w:val="000000"/>
                                    </w:rPr>
                                    <w:t>Identificação</w:t>
                                  </w:r>
                                </w:p>
                              </w:txbxContent>
                            </wps:txbx>
                            <wps:bodyPr spcFirstLastPara="1" wrap="square" lIns="88900" tIns="38100" rIns="88900" bIns="38100" anchor="t" anchorCtr="0">
                              <a:noAutofit/>
                            </wps:bodyPr>
                          </wps:wsp>
                          <wps:wsp>
                            <wps:cNvPr id="297073105" name="Retângulo 297073105"/>
                            <wps:cNvSpPr/>
                            <wps:spPr>
                              <a:xfrm>
                                <a:off x="4844129" y="3236875"/>
                                <a:ext cx="1766220" cy="665584"/>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4" w14:textId="77777777" w:rsidR="008238E6" w:rsidRDefault="00D61AB3">
                                  <w:pPr>
                                    <w:spacing w:before="0" w:after="0" w:line="240" w:lineRule="auto"/>
                                    <w:jc w:val="center"/>
                                    <w:textDirection w:val="btLr"/>
                                  </w:pPr>
                                  <w:r>
                                    <w:rPr>
                                      <w:color w:val="000000"/>
                                    </w:rPr>
                                    <w:t>Referências eliminadas</w:t>
                                  </w:r>
                                </w:p>
                                <w:p w14:paraId="4FB5F395" w14:textId="77777777" w:rsidR="008238E6" w:rsidRDefault="00D61AB3">
                                  <w:pPr>
                                    <w:spacing w:before="0" w:after="0" w:line="240" w:lineRule="auto"/>
                                    <w:jc w:val="center"/>
                                    <w:textDirection w:val="btLr"/>
                                  </w:pPr>
                                  <w:r>
                                    <w:rPr>
                                      <w:color w:val="000000"/>
                                    </w:rPr>
                                    <w:t>(n = 3210)</w:t>
                                  </w:r>
                                </w:p>
                              </w:txbxContent>
                            </wps:txbx>
                            <wps:bodyPr spcFirstLastPara="1" wrap="square" lIns="88900" tIns="38100" rIns="88900" bIns="38100" anchor="t" anchorCtr="0">
                              <a:noAutofit/>
                            </wps:bodyPr>
                          </wps:wsp>
                          <wps:wsp>
                            <wps:cNvPr id="396395430" name="Forma Livre: Forma 396395430"/>
                            <wps:cNvSpPr/>
                            <wps:spPr>
                              <a:xfrm>
                                <a:off x="3176237" y="3154352"/>
                                <a:ext cx="596" cy="898098"/>
                              </a:xfrm>
                              <a:custGeom>
                                <a:avLst/>
                                <a:gdLst/>
                                <a:ahLst/>
                                <a:cxnLst/>
                                <a:rect l="l" t="t" r="r" b="b"/>
                                <a:pathLst>
                                  <a:path w="596" h="898098" extrusionOk="0">
                                    <a:moveTo>
                                      <a:pt x="0" y="0"/>
                                    </a:moveTo>
                                    <a:lnTo>
                                      <a:pt x="596" y="898098"/>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815587919" name="Forma Livre: Forma 1815587919"/>
                            <wps:cNvSpPr/>
                            <wps:spPr>
                              <a:xfrm rot="10800000" flipH="1">
                                <a:off x="3176595" y="3569667"/>
                                <a:ext cx="1667533" cy="3550"/>
                              </a:xfrm>
                              <a:custGeom>
                                <a:avLst/>
                                <a:gdLst/>
                                <a:ahLst/>
                                <a:cxnLst/>
                                <a:rect l="l" t="t" r="r" b="b"/>
                                <a:pathLst>
                                  <a:path w="1667533" h="3550" extrusionOk="0">
                                    <a:moveTo>
                                      <a:pt x="0" y="0"/>
                                    </a:moveTo>
                                    <a:lnTo>
                                      <a:pt x="1667533" y="355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782406050" name="Retângulo 1782406050"/>
                            <wps:cNvSpPr/>
                            <wps:spPr>
                              <a:xfrm>
                                <a:off x="613004" y="78972"/>
                                <a:ext cx="2377196" cy="1121096"/>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6" w14:textId="77777777" w:rsidR="008238E6" w:rsidRDefault="00D61AB3">
                                  <w:pPr>
                                    <w:spacing w:before="0" w:after="0" w:line="240" w:lineRule="auto"/>
                                    <w:jc w:val="center"/>
                                    <w:textDirection w:val="btLr"/>
                                  </w:pPr>
                                  <w:r>
                                    <w:rPr>
                                      <w:color w:val="000000"/>
                                    </w:rPr>
                                    <w:t>Referências identificadas na busca eletrônica</w:t>
                                  </w:r>
                                </w:p>
                                <w:p w14:paraId="4FB5F397" w14:textId="13EB8B61" w:rsidR="008238E6" w:rsidRDefault="00D61AB3">
                                  <w:pPr>
                                    <w:spacing w:before="0" w:after="0" w:line="240" w:lineRule="auto"/>
                                    <w:jc w:val="center"/>
                                    <w:textDirection w:val="btLr"/>
                                  </w:pPr>
                                  <w:r>
                                    <w:rPr>
                                      <w:color w:val="000000"/>
                                    </w:rPr>
                                    <w:t>(n =4000)</w:t>
                                  </w:r>
                                </w:p>
                                <w:p w14:paraId="4FB5F398" w14:textId="1F9E3888" w:rsidR="008238E6" w:rsidRDefault="00D61AB3">
                                  <w:pPr>
                                    <w:spacing w:before="0" w:after="0" w:line="240" w:lineRule="auto"/>
                                    <w:jc w:val="center"/>
                                    <w:textDirection w:val="btLr"/>
                                  </w:pPr>
                                  <w:r>
                                    <w:rPr>
                                      <w:color w:val="000000"/>
                                    </w:rPr>
                                    <w:t>MEDLINE (n = 828) COCHRANE (n = 107), EMBASE (N=1.369), BVS (N=28), SCOPUS (N=1668</w:t>
                                  </w:r>
                                  <w:r>
                                    <w:rPr>
                                      <w:color w:val="000000"/>
                                      <w:sz w:val="18"/>
                                    </w:rPr>
                                    <w:t>)</w:t>
                                  </w:r>
                                </w:p>
                              </w:txbxContent>
                            </wps:txbx>
                            <wps:bodyPr spcFirstLastPara="1" wrap="square" lIns="88900" tIns="38100" rIns="88900" bIns="38100" anchor="t" anchorCtr="0">
                              <a:noAutofit/>
                            </wps:bodyPr>
                          </wps:wsp>
                          <wps:wsp>
                            <wps:cNvPr id="253398387" name="Retângulo 253398387"/>
                            <wps:cNvSpPr/>
                            <wps:spPr>
                              <a:xfrm>
                                <a:off x="4833031" y="1642654"/>
                                <a:ext cx="1714192" cy="567010"/>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9" w14:textId="77777777" w:rsidR="008238E6" w:rsidRDefault="00D61AB3">
                                  <w:pPr>
                                    <w:spacing w:before="0" w:after="0" w:line="240" w:lineRule="auto"/>
                                    <w:jc w:val="center"/>
                                    <w:textDirection w:val="btLr"/>
                                  </w:pPr>
                                  <w:r>
                                    <w:rPr>
                                      <w:color w:val="000000"/>
                                    </w:rPr>
                                    <w:t>Referências duplicadas</w:t>
                                  </w:r>
                                </w:p>
                                <w:p w14:paraId="4FB5F39A" w14:textId="77777777" w:rsidR="008238E6" w:rsidRDefault="00D61AB3">
                                  <w:pPr>
                                    <w:spacing w:before="0" w:after="0" w:line="240" w:lineRule="auto"/>
                                    <w:jc w:val="center"/>
                                    <w:textDirection w:val="btLr"/>
                                  </w:pPr>
                                  <w:r>
                                    <w:rPr>
                                      <w:color w:val="000000"/>
                                    </w:rPr>
                                    <w:t>(n = 803)</w:t>
                                  </w:r>
                                </w:p>
                              </w:txbxContent>
                            </wps:txbx>
                            <wps:bodyPr spcFirstLastPara="1" wrap="square" lIns="88900" tIns="38100" rIns="88900" bIns="38100" anchor="t" anchorCtr="0">
                              <a:noAutofit/>
                            </wps:bodyPr>
                          </wps:wsp>
                          <wps:wsp>
                            <wps:cNvPr id="1647758741" name="Forma Livre: Forma 1647758741"/>
                            <wps:cNvSpPr/>
                            <wps:spPr>
                              <a:xfrm>
                                <a:off x="3186500" y="716149"/>
                                <a:ext cx="0" cy="1764380"/>
                              </a:xfrm>
                              <a:custGeom>
                                <a:avLst/>
                                <a:gdLst/>
                                <a:ahLst/>
                                <a:cxnLst/>
                                <a:rect l="l" t="t" r="r" b="b"/>
                                <a:pathLst>
                                  <a:path w="1" h="1764380" extrusionOk="0">
                                    <a:moveTo>
                                      <a:pt x="0" y="0"/>
                                    </a:moveTo>
                                    <a:lnTo>
                                      <a:pt x="0" y="176438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287660210" name="Forma Livre: Forma 287660210"/>
                            <wps:cNvSpPr/>
                            <wps:spPr>
                              <a:xfrm>
                                <a:off x="3186500" y="1831137"/>
                                <a:ext cx="1649753" cy="852"/>
                              </a:xfrm>
                              <a:custGeom>
                                <a:avLst/>
                                <a:gdLst/>
                                <a:ahLst/>
                                <a:cxnLst/>
                                <a:rect l="l" t="t" r="r" b="b"/>
                                <a:pathLst>
                                  <a:path w="1649753" h="852" extrusionOk="0">
                                    <a:moveTo>
                                      <a:pt x="0" y="0"/>
                                    </a:moveTo>
                                    <a:lnTo>
                                      <a:pt x="1649753" y="852"/>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199493921" name="Retângulo 1199493921"/>
                            <wps:cNvSpPr/>
                            <wps:spPr>
                              <a:xfrm>
                                <a:off x="1930658" y="2480387"/>
                                <a:ext cx="2662159" cy="673964"/>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B" w14:textId="77777777" w:rsidR="008238E6" w:rsidRDefault="00D61AB3">
                                  <w:pPr>
                                    <w:spacing w:before="0" w:after="0" w:line="240" w:lineRule="auto"/>
                                    <w:jc w:val="center"/>
                                    <w:textDirection w:val="btLr"/>
                                  </w:pPr>
                                  <w:r>
                                    <w:rPr>
                                      <w:color w:val="000000"/>
                                    </w:rPr>
                                    <w:t>Referências avaliadas pelo título e resumo</w:t>
                                  </w:r>
                                </w:p>
                                <w:p w14:paraId="4FB5F39C" w14:textId="77777777" w:rsidR="008238E6" w:rsidRDefault="00D61AB3">
                                  <w:pPr>
                                    <w:spacing w:before="0" w:after="0" w:line="240" w:lineRule="auto"/>
                                    <w:jc w:val="center"/>
                                    <w:textDirection w:val="btLr"/>
                                  </w:pPr>
                                  <w:r>
                                    <w:rPr>
                                      <w:color w:val="000000"/>
                                    </w:rPr>
                                    <w:t>(n = 3223)</w:t>
                                  </w:r>
                                </w:p>
                              </w:txbxContent>
                            </wps:txbx>
                            <wps:bodyPr spcFirstLastPara="1" wrap="square" lIns="88900" tIns="38100" rIns="88900" bIns="38100" anchor="t" anchorCtr="0">
                              <a:noAutofit/>
                            </wps:bodyPr>
                          </wps:wsp>
                          <wps:wsp>
                            <wps:cNvPr id="295462536" name="Retângulo 295462536"/>
                            <wps:cNvSpPr/>
                            <wps:spPr>
                              <a:xfrm>
                                <a:off x="3494016" y="78830"/>
                                <a:ext cx="2683161" cy="1121238"/>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9D" w14:textId="77777777" w:rsidR="008238E6" w:rsidRDefault="00D61AB3">
                                  <w:pPr>
                                    <w:spacing w:before="0" w:after="0" w:line="240" w:lineRule="auto"/>
                                    <w:jc w:val="center"/>
                                    <w:textDirection w:val="btLr"/>
                                  </w:pPr>
                                  <w:r>
                                    <w:rPr>
                                      <w:color w:val="000000"/>
                                    </w:rPr>
                                    <w:t>Referências identificadas na busca adicional</w:t>
                                  </w:r>
                                </w:p>
                                <w:p w14:paraId="4FB5F39E" w14:textId="77777777" w:rsidR="008238E6" w:rsidRDefault="00D61AB3">
                                  <w:pPr>
                                    <w:spacing w:before="0" w:after="0" w:line="240" w:lineRule="auto"/>
                                    <w:jc w:val="center"/>
                                    <w:textDirection w:val="btLr"/>
                                  </w:pPr>
                                  <w:r>
                                    <w:rPr>
                                      <w:color w:val="000000"/>
                                    </w:rPr>
                                    <w:t>(n = 26)</w:t>
                                  </w:r>
                                </w:p>
                                <w:p w14:paraId="4FB5F39F" w14:textId="77777777" w:rsidR="008238E6" w:rsidRDefault="00D61AB3">
                                  <w:pPr>
                                    <w:spacing w:before="0" w:after="0" w:line="240" w:lineRule="auto"/>
                                    <w:jc w:val="center"/>
                                    <w:textDirection w:val="btLr"/>
                                  </w:pPr>
                                  <w:r>
                                    <w:rPr>
                                      <w:color w:val="000000"/>
                                      <w:sz w:val="18"/>
                                    </w:rPr>
                                    <w:t>Clinical Trials</w:t>
                                  </w:r>
                                </w:p>
                              </w:txbxContent>
                            </wps:txbx>
                            <wps:bodyPr spcFirstLastPara="1" wrap="square" lIns="88900" tIns="38100" rIns="88900" bIns="38100" anchor="t" anchorCtr="0">
                              <a:noAutofit/>
                            </wps:bodyPr>
                          </wps:wsp>
                          <wps:wsp>
                            <wps:cNvPr id="953816090" name="Conector de Seta Reta 953816090"/>
                            <wps:cNvCnPr/>
                            <wps:spPr>
                              <a:xfrm>
                                <a:off x="3001178" y="716149"/>
                                <a:ext cx="496417" cy="0"/>
                              </a:xfrm>
                              <a:prstGeom prst="straightConnector1">
                                <a:avLst/>
                              </a:prstGeom>
                              <a:solidFill>
                                <a:srgbClr val="FFFFFF"/>
                              </a:solidFill>
                              <a:ln w="9525" cap="flat" cmpd="sng">
                                <a:solidFill>
                                  <a:srgbClr val="000000"/>
                                </a:solidFill>
                                <a:prstDash val="solid"/>
                                <a:miter lim="8000"/>
                                <a:headEnd type="none" w="sm" len="sm"/>
                                <a:tailEnd type="none" w="sm" len="sm"/>
                              </a:ln>
                            </wps:spPr>
                            <wps:bodyPr/>
                          </wps:wsp>
                        </wpg:grpSp>
                      </wpg:grpSp>
                    </wpg:wgp>
                  </a:graphicData>
                </a:graphic>
              </wp:anchor>
            </w:drawing>
          </mc:Choice>
          <mc:Fallback xmlns:a="http://schemas.openxmlformats.org/drawingml/2006/main" xmlns:pic="http://schemas.openxmlformats.org/drawingml/2006/picture" xmlns:arto="http://schemas.microsoft.com/office/word/2006/arto">
            <w:pict w14:anchorId="6F04D778">
              <v:group id="Agrupar 48" style="position:absolute;left:0;text-align:left;margin-left:-33pt;margin-top:18pt;width:520.5pt;height:576.85pt;z-index:251658242" coordsize="66105,73260" coordorigin="20407,1170" o:spid="_x0000_s1027" w14:anchorId="4FB5F34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">
                <v:group id="Agrupar 1294504845" style="position:absolute;left:20408;top:1170;width:66103;height:73260" coordsize="66813,73946" coordorigin="19762,827"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">
                  <v:rect id="Retângulo 862306030" style="position:absolute;left:19762;top:827;width:66813;height:73946;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">
                    <v:textbox inset="2.53958mm,2.53958mm,2.53958mm,2.53958mm">
                      <w:txbxContent>
                        <w:p w:rsidR="008238E6" w:rsidRDefault="008238E6" w14:paraId="44EAFD9C" w14:textId="77777777">
                          <w:pPr>
                            <w:spacing w:before="0" w:after="0" w:line="240" w:lineRule="auto"/>
                            <w:jc w:val="left"/>
                            <w:textDirection w:val="btLr"/>
                          </w:pPr>
                        </w:p>
                      </w:txbxContent>
                    </v:textbox>
                  </v:rect>
                  <v:group id="Agrupar 744210750" style="position:absolute;left:19825;top:827;width:66686;height:73945" coordsize="66686,73945" coordorigin="-582"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">
                    <v:rect id="Retângulo 1542366036" style="position:absolute;width:66103;height:73945;visibility:visible;mso-wrap-style:square;v-text-anchor:middle" o:spid="_x0000_s10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">
                      <v:textbox inset="2.53958mm,2.53958mm,2.53958mm,2.53958mm">
                        <w:txbxContent>
                          <w:p w:rsidR="008238E6" w:rsidRDefault="008238E6" w14:paraId="4B94D5A5" w14:textId="77777777">
                            <w:pPr>
                              <w:spacing w:before="0" w:after="0" w:line="240" w:lineRule="auto"/>
                              <w:jc w:val="left"/>
                              <w:textDirection w:val="btLr"/>
                            </w:pPr>
                          </w:p>
                        </w:txbxContent>
                      </v:textbox>
                    </v:rect>
                    <v:roundrect id="Retângulo: Cantos Arredondados 1750083489" style="position:absolute;left:-2519;top:63650;width:11169;height:7295;rotation:-90;visibility:visible;mso-wrap-style:square;v-text-anchor:top" o:spid="_x0000_s1032" fillcolor="#d9e2f3"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">
                      <v:stroke startarrowwidth="narrow" startarrowlength="short" endarrowwidth="narrow" endarrowlength="short"/>
                      <v:textbox inset="7pt,3pt,7pt,3pt">
                        <w:txbxContent>
                          <w:p w:rsidR="008238E6" w:rsidRDefault="00D61AB3" w14:paraId="0CA4FBE2" w14:textId="77777777">
                            <w:pPr>
                              <w:jc w:val="center"/>
                              <w:textDirection w:val="btLr"/>
                            </w:pPr>
                            <w:r>
                              <w:rPr>
                                <w:b/>
                                <w:color w:val="000000"/>
                              </w:rPr>
                              <w:t>Inclusão</w:t>
                            </w:r>
                          </w:p>
                        </w:txbxContent>
                      </v:textbox>
                    </v:roundrect>
                    <v:roundrect id="Retângulo: Cantos Arredondados 430188905" style="position:absolute;left:-5233;top:46050;width:16754;height:7108;rotation:-90;visibility:visible;mso-wrap-style:square;v-text-anchor:top" o:spid="_x0000_s1033" fillcolor="#d9e2f3"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">
                      <v:stroke startarrowwidth="narrow" startarrowlength="short" endarrowwidth="narrow" endarrowlength="short"/>
                      <v:textbox inset="7pt,3pt,7pt,3pt">
                        <w:txbxContent>
                          <w:p w:rsidR="008238E6" w:rsidRDefault="00D61AB3" w14:paraId="5947EBCC" w14:textId="77777777">
                            <w:pPr>
                              <w:jc w:val="center"/>
                              <w:textDirection w:val="btLr"/>
                            </w:pPr>
                            <w:r>
                              <w:rPr>
                                <w:b/>
                                <w:color w:val="000000"/>
                              </w:rPr>
                              <w:t>Elegibilidade</w:t>
                            </w:r>
                          </w:p>
                        </w:txbxContent>
                      </v:textbox>
                    </v:roundrect>
                    <v:rect id="Retângulo 747849295" style="position:absolute;left:21262;top:41101;width:21482;height:8333;visibility:visible;mso-wrap-style:square;v-text-anchor:top" o:spid="_x0000_s103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">
                      <v:stroke joinstyle="round" startarrowwidth="narrow" startarrowlength="short" endarrowwidth="narrow" endarrowlength="short"/>
                      <v:textbox inset="7pt,3pt,7pt,3pt">
                        <w:txbxContent>
                          <w:p w:rsidR="008238E6" w:rsidRDefault="00D61AB3" w14:paraId="39B6CE78" w14:textId="77777777">
                            <w:pPr>
                              <w:spacing w:before="0" w:after="0" w:line="240" w:lineRule="auto"/>
                              <w:jc w:val="center"/>
                              <w:textDirection w:val="btLr"/>
                            </w:pPr>
                            <w:r>
                              <w:rPr>
                                <w:color w:val="000000"/>
                              </w:rPr>
                              <w:t>Referências selecionadas para avaliação do texto completo</w:t>
                            </w:r>
                          </w:p>
                          <w:p w:rsidR="008238E6" w:rsidRDefault="00D61AB3" w14:paraId="5FF768DB" w14:textId="77777777">
                            <w:pPr>
                              <w:spacing w:before="0" w:after="0" w:line="240" w:lineRule="auto"/>
                              <w:jc w:val="center"/>
                              <w:textDirection w:val="btLr"/>
                            </w:pPr>
                            <w:r>
                              <w:rPr>
                                <w:color w:val="000000"/>
                              </w:rPr>
                              <w:t>(n = 13)</w:t>
                            </w:r>
                          </w:p>
                        </w:txbxContent>
                      </v:textbox>
                    </v:rect>
                    <v:shape id="Forma Livre: Forma 532558814" style="position:absolute;left:31041;top:51511;width:0;height:13134;visibility:visible;mso-wrap-style:square;v-text-anchor:middle" coordsize="1,1313413" o:spid="_x0000_s1035" strokeweight="1pt" path="m,l,1313413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">
                      <v:stroke startarrowwidth="narrow" startarrowlength="short" endarrow="block"/>
                      <v:path arrowok="t" o:extrusionok="f"/>
                    </v:shape>
                    <v:shape id="Forma Livre: Forma 1837667375" style="position:absolute;left:31041;top:57091;width:12957;height:0;visibility:visible;mso-wrap-style:square;v-text-anchor:middle" coordsize="1295697,1" o:spid="_x0000_s1036" strokeweight="1pt" path="m,l129569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">
                      <v:stroke startarrowwidth="narrow" startarrowlength="short" endarrow="block"/>
                      <v:path arrowok="t" o:extrusionok="f"/>
                    </v:shape>
                    <v:roundrect id="Retângulo: Cantos Arredondados 339950131" style="position:absolute;left:-4941;top:25362;width:16231;height:7037;rotation:-90;visibility:visible;mso-wrap-style:square;v-text-anchor:top" o:spid="_x0000_s1037" fillcolor="#d9e2f3"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">
                      <v:stroke startarrowwidth="narrow" startarrowlength="short" endarrowwidth="narrow" endarrowlength="short"/>
                      <v:textbox inset="7pt,3pt,7pt,3pt">
                        <w:txbxContent>
                          <w:p w:rsidR="008238E6" w:rsidRDefault="00D61AB3" w14:paraId="5C69FACC" w14:textId="77777777">
                            <w:pPr>
                              <w:jc w:val="center"/>
                              <w:textDirection w:val="btLr"/>
                            </w:pPr>
                            <w:r>
                              <w:rPr>
                                <w:b/>
                                <w:color w:val="000000"/>
                              </w:rPr>
                              <w:t>Triagem</w:t>
                            </w:r>
                          </w:p>
                        </w:txbxContent>
                      </v:textbox>
                    </v:roundrect>
                    <v:roundrect id="Retângulo: Cantos Arredondados 1518076951" style="position:absolute;left:-4732;top:5878;width:15287;height:6442;rotation:-90;visibility:visible;mso-wrap-style:square;v-text-anchor:top" o:spid="_x0000_s1038" fillcolor="#d9e2f3"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">
                      <v:stroke startarrowwidth="narrow" startarrowlength="short" endarrowwidth="narrow" endarrowlength="short"/>
                      <v:textbox inset="7pt,3pt,7pt,3pt">
                        <w:txbxContent>
                          <w:p w:rsidR="008238E6" w:rsidRDefault="00D61AB3" w14:paraId="5E084887" w14:textId="77777777">
                            <w:pPr>
                              <w:jc w:val="center"/>
                              <w:textDirection w:val="btLr"/>
                            </w:pPr>
                            <w:r>
                              <w:rPr>
                                <w:b/>
                                <w:color w:val="000000"/>
                              </w:rPr>
                              <w:t>Identificação</w:t>
                            </w:r>
                          </w:p>
                        </w:txbxContent>
                      </v:textbox>
                    </v:roundrect>
                    <v:rect id="Retângulo 297073105" style="position:absolute;left:48441;top:32368;width:17662;height:6656;visibility:visible;mso-wrap-style:square;v-text-anchor:top" o:spid="_x0000_s103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">
                      <v:stroke joinstyle="round" startarrowwidth="narrow" startarrowlength="short" endarrowwidth="narrow" endarrowlength="short"/>
                      <v:textbox inset="7pt,3pt,7pt,3pt">
                        <w:txbxContent>
                          <w:p w:rsidR="008238E6" w:rsidRDefault="00D61AB3" w14:paraId="0D08924D" w14:textId="77777777">
                            <w:pPr>
                              <w:spacing w:before="0" w:after="0" w:line="240" w:lineRule="auto"/>
                              <w:jc w:val="center"/>
                              <w:textDirection w:val="btLr"/>
                            </w:pPr>
                            <w:r>
                              <w:rPr>
                                <w:color w:val="000000"/>
                              </w:rPr>
                              <w:t>Referências eliminadas</w:t>
                            </w:r>
                          </w:p>
                          <w:p w:rsidR="008238E6" w:rsidRDefault="00D61AB3" w14:paraId="5ABFC73C" w14:textId="77777777">
                            <w:pPr>
                              <w:spacing w:before="0" w:after="0" w:line="240" w:lineRule="auto"/>
                              <w:jc w:val="center"/>
                              <w:textDirection w:val="btLr"/>
                            </w:pPr>
                            <w:r>
                              <w:rPr>
                                <w:color w:val="000000"/>
                              </w:rPr>
                              <w:t>(n = 3210)</w:t>
                            </w:r>
                          </w:p>
                        </w:txbxContent>
                      </v:textbox>
                    </v:rect>
                    <v:shape id="Forma Livre: Forma 396395430" style="position:absolute;left:31762;top:31543;width:6;height:8981;visibility:visible;mso-wrap-style:square;v-text-anchor:middle" coordsize="596,898098" o:spid="_x0000_s1040" strokeweight="1pt" path="m,l596,8980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">
                      <v:stroke startarrowwidth="narrow" startarrowlength="short" endarrow="block"/>
                      <v:path arrowok="t" o:extrusionok="f"/>
                    </v:shape>
                    <v:shape id="Forma Livre: Forma 1815587919" style="position:absolute;left:31765;top:35696;width:16676;height:36;rotation:180;flip:x;visibility:visible;mso-wrap-style:square;v-text-anchor:middle" coordsize="1667533,3550" o:spid="_x0000_s1041" strokeweight="1pt" path="m,l1667533,35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">
                      <v:stroke startarrowwidth="narrow" startarrowlength="short" endarrow="block"/>
                      <v:path arrowok="t" o:extrusionok="f"/>
                    </v:shape>
                    <v:rect id="Retângulo 1782406050" style="position:absolute;left:6130;top:789;width:23772;height:11211;visibility:visible;mso-wrap-style:square;v-text-anchor:top" o:spid="_x0000_s104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">
                      <v:stroke joinstyle="round" startarrowwidth="narrow" startarrowlength="short" endarrowwidth="narrow" endarrowlength="short"/>
                      <v:textbox inset="7pt,3pt,7pt,3pt">
                        <w:txbxContent>
                          <w:p w:rsidR="008238E6" w:rsidRDefault="00D61AB3" w14:paraId="2B845ED1" w14:textId="77777777">
                            <w:pPr>
                              <w:spacing w:before="0" w:after="0" w:line="240" w:lineRule="auto"/>
                              <w:jc w:val="center"/>
                              <w:textDirection w:val="btLr"/>
                            </w:pPr>
                            <w:r>
                              <w:rPr>
                                <w:color w:val="000000"/>
                              </w:rPr>
                              <w:t>Referências identificadas na busca eletrônica</w:t>
                            </w:r>
                          </w:p>
                          <w:p w:rsidR="008238E6" w:rsidRDefault="00D61AB3" w14:paraId="5BF5E465" w14:textId="13EB8B61">
                            <w:pPr>
                              <w:spacing w:before="0" w:after="0" w:line="240" w:lineRule="auto"/>
                              <w:jc w:val="center"/>
                              <w:textDirection w:val="btLr"/>
                            </w:pPr>
                            <w:r>
                              <w:rPr>
                                <w:color w:val="000000"/>
                              </w:rPr>
                              <w:t>(n =4000)</w:t>
                            </w:r>
                          </w:p>
                          <w:p w:rsidR="008238E6" w:rsidRDefault="00D61AB3" w14:paraId="2F274683" w14:textId="1F9E3888">
                            <w:pPr>
                              <w:spacing w:before="0" w:after="0" w:line="240" w:lineRule="auto"/>
                              <w:jc w:val="center"/>
                              <w:textDirection w:val="btLr"/>
                            </w:pPr>
                            <w:r>
                              <w:rPr>
                                <w:color w:val="000000"/>
                              </w:rPr>
                              <w:t>MEDLINE (n = 828) COCHRANE (n = 107), EMBASE (N=1.369), BVS (N=28), SCOPUS (N=1668</w:t>
                            </w:r>
                            <w:r>
                              <w:rPr>
                                <w:color w:val="000000"/>
                                <w:sz w:val="18"/>
                              </w:rPr>
                              <w:t>)</w:t>
                            </w:r>
                          </w:p>
                        </w:txbxContent>
                      </v:textbox>
                    </v:rect>
                    <v:rect id="Retângulo 253398387" style="position:absolute;left:48330;top:16426;width:17142;height:5670;visibility:visible;mso-wrap-style:square;v-text-anchor:top" o:spid="_x0000_s104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">
                      <v:stroke joinstyle="round" startarrowwidth="narrow" startarrowlength="short" endarrowwidth="narrow" endarrowlength="short"/>
                      <v:textbox inset="7pt,3pt,7pt,3pt">
                        <w:txbxContent>
                          <w:p w:rsidR="008238E6" w:rsidRDefault="00D61AB3" w14:paraId="53CE3EDB" w14:textId="77777777">
                            <w:pPr>
                              <w:spacing w:before="0" w:after="0" w:line="240" w:lineRule="auto"/>
                              <w:jc w:val="center"/>
                              <w:textDirection w:val="btLr"/>
                            </w:pPr>
                            <w:r>
                              <w:rPr>
                                <w:color w:val="000000"/>
                              </w:rPr>
                              <w:t>Referências duplicadas</w:t>
                            </w:r>
                          </w:p>
                          <w:p w:rsidR="008238E6" w:rsidRDefault="00D61AB3" w14:paraId="157D961A" w14:textId="77777777">
                            <w:pPr>
                              <w:spacing w:before="0" w:after="0" w:line="240" w:lineRule="auto"/>
                              <w:jc w:val="center"/>
                              <w:textDirection w:val="btLr"/>
                            </w:pPr>
                            <w:r>
                              <w:rPr>
                                <w:color w:val="000000"/>
                              </w:rPr>
                              <w:t>(n = 803)</w:t>
                            </w:r>
                          </w:p>
                        </w:txbxContent>
                      </v:textbox>
                    </v:rect>
                    <v:shape id="Forma Livre: Forma 1647758741" style="position:absolute;left:31865;top:7161;width:0;height:17644;visibility:visible;mso-wrap-style:square;v-text-anchor:middle" coordsize="1,1764380" o:spid="_x0000_s1044" strokeweight="1pt" path="m,l,17643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">
                      <v:stroke startarrowwidth="narrow" startarrowlength="short" endarrow="block"/>
                      <v:path arrowok="t" o:extrusionok="f"/>
                    </v:shape>
                    <v:shape id="Forma Livre: Forma 287660210" style="position:absolute;left:31865;top:18311;width:16497;height:8;visibility:visible;mso-wrap-style:square;v-text-anchor:middle" coordsize="1649753,852" o:spid="_x0000_s1045" strokeweight="1pt" path="m,l1649753,85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">
                      <v:stroke startarrowwidth="narrow" startarrowlength="short" endarrow="block"/>
                      <v:path arrowok="t" o:extrusionok="f"/>
                    </v:shape>
                    <v:rect id="Retângulo 1199493921" style="position:absolute;left:19306;top:24803;width:26622;height:6740;visibility:visible;mso-wrap-style:square;v-text-anchor:top" o:spid="_x0000_s1046"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">
                      <v:stroke joinstyle="round" startarrowwidth="narrow" startarrowlength="short" endarrowwidth="narrow" endarrowlength="short"/>
                      <v:textbox inset="7pt,3pt,7pt,3pt">
                        <w:txbxContent>
                          <w:p w:rsidR="008238E6" w:rsidRDefault="00D61AB3" w14:paraId="192A2DC4" w14:textId="77777777">
                            <w:pPr>
                              <w:spacing w:before="0" w:after="0" w:line="240" w:lineRule="auto"/>
                              <w:jc w:val="center"/>
                              <w:textDirection w:val="btLr"/>
                            </w:pPr>
                            <w:r>
                              <w:rPr>
                                <w:color w:val="000000"/>
                              </w:rPr>
                              <w:t>Referências avaliadas pelo título e resumo</w:t>
                            </w:r>
                          </w:p>
                          <w:p w:rsidR="008238E6" w:rsidRDefault="00D61AB3" w14:paraId="051ACC3B" w14:textId="77777777">
                            <w:pPr>
                              <w:spacing w:before="0" w:after="0" w:line="240" w:lineRule="auto"/>
                              <w:jc w:val="center"/>
                              <w:textDirection w:val="btLr"/>
                            </w:pPr>
                            <w:r>
                              <w:rPr>
                                <w:color w:val="000000"/>
                              </w:rPr>
                              <w:t>(n = 3223)</w:t>
                            </w:r>
                          </w:p>
                        </w:txbxContent>
                      </v:textbox>
                    </v:rect>
                    <v:rect id="Retângulo 295462536" style="position:absolute;left:34940;top:788;width:26831;height:11212;visibility:visible;mso-wrap-style:square;v-text-anchor:top" o:spid="_x0000_s104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">
                      <v:stroke joinstyle="round" startarrowwidth="narrow" startarrowlength="short" endarrowwidth="narrow" endarrowlength="short"/>
                      <v:textbox inset="7pt,3pt,7pt,3pt">
                        <w:txbxContent>
                          <w:p w:rsidR="008238E6" w:rsidRDefault="00D61AB3" w14:paraId="50E23BF0" w14:textId="77777777">
                            <w:pPr>
                              <w:spacing w:before="0" w:after="0" w:line="240" w:lineRule="auto"/>
                              <w:jc w:val="center"/>
                              <w:textDirection w:val="btLr"/>
                            </w:pPr>
                            <w:r>
                              <w:rPr>
                                <w:color w:val="000000"/>
                              </w:rPr>
                              <w:t>Referências identificadas na busca adicional</w:t>
                            </w:r>
                          </w:p>
                          <w:p w:rsidR="008238E6" w:rsidRDefault="00D61AB3" w14:paraId="0FF80C87" w14:textId="77777777">
                            <w:pPr>
                              <w:spacing w:before="0" w:after="0" w:line="240" w:lineRule="auto"/>
                              <w:jc w:val="center"/>
                              <w:textDirection w:val="btLr"/>
                            </w:pPr>
                            <w:r>
                              <w:rPr>
                                <w:color w:val="000000"/>
                              </w:rPr>
                              <w:t>(n = 26)</w:t>
                            </w:r>
                          </w:p>
                          <w:p w:rsidR="008238E6" w:rsidRDefault="00D61AB3" w14:paraId="0A984D94" w14:textId="77777777">
                            <w:pPr>
                              <w:spacing w:before="0" w:after="0" w:line="240" w:lineRule="auto"/>
                              <w:jc w:val="center"/>
                              <w:textDirection w:val="btLr"/>
                            </w:pPr>
                            <w:r>
                              <w:rPr>
                                <w:color w:val="000000"/>
                                <w:sz w:val="18"/>
                              </w:rPr>
                              <w:t>Clinical Trials</w:t>
                            </w:r>
                          </w:p>
                        </w:txbxContent>
                      </v:textbox>
                    </v:rect>
                    <v:shapetype id="_x0000_t32" coordsize="21600,21600" o:oned="t" filled="f" o:spt="32" path="m,l21600,21600e">
                      <v:path fillok="f" arrowok="t" o:connecttype="none"/>
                      <o:lock v:ext="edit" shapetype="t"/>
                    </v:shapetype>
                    <v:shape id="Conector de Seta Reta 953816090" style="position:absolute;left:30011;top:7161;width:4964;height:0;visibility:visible;mso-wrap-style:square" o:spid="_x0000_s1048" filled="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">
                      <v:stroke miterlimit="5243f" joinstyle="miter" startarrowwidth="narrow" startarrowlength="short" endarrowwidth="narrow" endarrowlength="short"/>
                    </v:shape>
                  </v:group>
                </v:group>
                <w10:wrap type="square"/>
              </v:group>
            </w:pict>
          </mc:Fallback>
        </mc:AlternateContent>
      </w:r>
    </w:p>
    <w:p w14:paraId="4FB5E9F2" w14:textId="77777777" w:rsidR="008238E6" w:rsidRDefault="00D61AB3">
      <w:pPr>
        <w:jc w:val="center"/>
      </w:pPr>
      <w:r>
        <w:rPr>
          <w:noProof/>
        </w:rPr>
        <mc:AlternateContent>
          <mc:Choice Requires="wps">
            <w:drawing>
              <wp:anchor distT="0" distB="0" distL="114300" distR="114300" simplePos="0" relativeHeight="251658243" behindDoc="0" locked="0" layoutInCell="1" hidden="0" allowOverlap="1" wp14:anchorId="4FB5F34F" wp14:editId="4FB5F350">
                <wp:simplePos x="0" y="0"/>
                <wp:positionH relativeFrom="column">
                  <wp:posOffset>4102100</wp:posOffset>
                </wp:positionH>
                <wp:positionV relativeFrom="paragraph">
                  <wp:posOffset>5092700</wp:posOffset>
                </wp:positionV>
                <wp:extent cx="1861820" cy="761831"/>
                <wp:effectExtent l="0" t="0" r="0" b="0"/>
                <wp:wrapSquare wrapText="bothSides" distT="0" distB="0" distL="114300" distR="114300"/>
                <wp:docPr id="49" name="Forma Livre: Forma 49"/>
                <wp:cNvGraphicFramePr/>
                <a:graphic xmlns:a="http://schemas.openxmlformats.org/drawingml/2006/main">
                  <a:graphicData uri="http://schemas.microsoft.com/office/word/2010/wordprocessingShape">
                    <wps:wsp>
                      <wps:cNvSpPr/>
                      <wps:spPr>
                        <a:xfrm>
                          <a:off x="4427790" y="3413288"/>
                          <a:ext cx="1836420" cy="733425"/>
                        </a:xfrm>
                        <a:custGeom>
                          <a:avLst/>
                          <a:gdLst/>
                          <a:ahLst/>
                          <a:cxnLst/>
                          <a:rect l="l" t="t" r="r" b="b"/>
                          <a:pathLst>
                            <a:path w="1836420" h="733425" extrusionOk="0">
                              <a:moveTo>
                                <a:pt x="0" y="0"/>
                              </a:moveTo>
                              <a:lnTo>
                                <a:pt x="0" y="733425"/>
                              </a:lnTo>
                              <a:lnTo>
                                <a:pt x="1836420" y="733425"/>
                              </a:lnTo>
                              <a:lnTo>
                                <a:pt x="183642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4FB5F3A0" w14:textId="77777777" w:rsidR="008238E6" w:rsidRDefault="00D61AB3">
                            <w:pPr>
                              <w:spacing w:before="0" w:after="0" w:line="240" w:lineRule="auto"/>
                              <w:jc w:val="center"/>
                              <w:textDirection w:val="btLr"/>
                            </w:pPr>
                            <w:r>
                              <w:rPr>
                                <w:color w:val="000000"/>
                              </w:rPr>
                              <w:t xml:space="preserve">Referências excluídas </w:t>
                            </w:r>
                          </w:p>
                          <w:p w14:paraId="4FB5F3A1" w14:textId="77777777" w:rsidR="008238E6" w:rsidRDefault="00D61AB3">
                            <w:pPr>
                              <w:spacing w:before="0" w:after="0" w:line="240" w:lineRule="auto"/>
                              <w:jc w:val="center"/>
                              <w:textDirection w:val="btLr"/>
                            </w:pPr>
                            <w:r>
                              <w:rPr>
                                <w:color w:val="000000"/>
                              </w:rPr>
                              <w:t>(n = 11)</w:t>
                            </w:r>
                          </w:p>
                        </w:txbxContent>
                      </wps:txbx>
                      <wps:bodyPr spcFirstLastPara="1" wrap="square" lIns="88900" tIns="45700" rIns="88900" bIns="45700" anchor="t" anchorCtr="0">
                        <a:noAutofit/>
                      </wps:bodyPr>
                    </wps:wsp>
                  </a:graphicData>
                </a:graphic>
              </wp:anchor>
            </w:drawing>
          </mc:Choice>
          <mc:Fallback xmlns:a="http://schemas.openxmlformats.org/drawingml/2006/main" xmlns:pic="http://schemas.openxmlformats.org/drawingml/2006/picture" xmlns:arto="http://schemas.microsoft.com/office/word/2006/arto">
            <w:pict w14:anchorId="6DC5E57E">
              <v:shape id="Forma Livre: Forma 49" style="position:absolute;left:0;text-align:left;margin-left:323pt;margin-top:401pt;width:146.6pt;height:60pt;z-index:251658243;visibility:visible;mso-wrap-style:square;mso-wrap-distance-left:9pt;mso-wrap-distance-top:0;mso-wrap-distance-right:9pt;mso-wrap-distance-bottom:0;mso-position-horizontal:absolute;mso-position-horizontal-relative:text;mso-position-vertical:absolute;mso-position-vertical-relative:text;v-text-anchor:top" coordsize="1836420,733425" o:spid="_x0000_s1049" strokeweight="1pt" o:spt="100" adj="-11796480,,5400" path="m,l,733425r1836420,l183642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" w14:anchorId="4FB5F34F">
                <v:stroke miterlimit="5243f" joinstyle="miter" startarrowwidth="narrow" startarrowlength="short" endarrowwidth="narrow" endarrowlength="short"/>
                <v:formulas/>
                <v:path textboxrect="0,0,1836420,733425" arrowok="t" o:connecttype="custom" o:extrusionok="f"/>
                <v:textbox inset="7pt,1.2694mm,7pt,1.2694mm">
                  <w:txbxContent>
                    <w:p w:rsidR="008238E6" w:rsidRDefault="00D61AB3" w14:paraId="03DE3700" w14:textId="77777777">
                      <w:pPr>
                        <w:spacing w:before="0" w:after="0" w:line="240" w:lineRule="auto"/>
                        <w:jc w:val="center"/>
                        <w:textDirection w:val="btLr"/>
                      </w:pPr>
                      <w:r>
                        <w:rPr>
                          <w:color w:val="000000"/>
                        </w:rPr>
                        <w:t xml:space="preserve">Referências excluídas </w:t>
                      </w:r>
                    </w:p>
                    <w:p w:rsidR="008238E6" w:rsidRDefault="00D61AB3" w14:paraId="38EF13DF" w14:textId="77777777">
                      <w:pPr>
                        <w:spacing w:before="0" w:after="0" w:line="240" w:lineRule="auto"/>
                        <w:jc w:val="center"/>
                        <w:textDirection w:val="btLr"/>
                      </w:pPr>
                      <w:r>
                        <w:rPr>
                          <w:color w:val="000000"/>
                        </w:rPr>
                        <w:t>(n = 11)</w:t>
                      </w:r>
                    </w:p>
                  </w:txbxContent>
                </v:textbox>
                <w10:wrap type="square"/>
              </v:shape>
            </w:pict>
          </mc:Fallback>
        </mc:AlternateContent>
      </w:r>
      <w:r>
        <w:rPr>
          <w:noProof/>
        </w:rPr>
        <mc:AlternateContent>
          <mc:Choice Requires="wps">
            <w:drawing>
              <wp:anchor distT="0" distB="0" distL="114300" distR="114300" simplePos="0" relativeHeight="251658244" behindDoc="0" locked="0" layoutInCell="1" hidden="0" allowOverlap="1" wp14:anchorId="4FB5F351" wp14:editId="4FB5F352">
                <wp:simplePos x="0" y="0"/>
                <wp:positionH relativeFrom="column">
                  <wp:posOffset>2044700</wp:posOffset>
                </wp:positionH>
                <wp:positionV relativeFrom="paragraph">
                  <wp:posOffset>6299200</wp:posOffset>
                </wp:positionV>
                <wp:extent cx="1480185" cy="703838"/>
                <wp:effectExtent l="0" t="0" r="0" b="0"/>
                <wp:wrapNone/>
                <wp:docPr id="50" name="Retângulo 50"/>
                <wp:cNvGraphicFramePr/>
                <a:graphic xmlns:a="http://schemas.openxmlformats.org/drawingml/2006/main">
                  <a:graphicData uri="http://schemas.microsoft.com/office/word/2010/wordprocessingShape">
                    <wps:wsp>
                      <wps:cNvSpPr/>
                      <wps:spPr>
                        <a:xfrm>
                          <a:off x="4618608" y="3441863"/>
                          <a:ext cx="1454785" cy="676275"/>
                        </a:xfrm>
                        <a:prstGeom prst="rect">
                          <a:avLst/>
                        </a:prstGeom>
                        <a:solidFill>
                          <a:srgbClr val="FFFFFF"/>
                        </a:solidFill>
                        <a:ln w="12700" cap="flat" cmpd="sng">
                          <a:solidFill>
                            <a:srgbClr val="000000"/>
                          </a:solidFill>
                          <a:prstDash val="solid"/>
                          <a:round/>
                          <a:headEnd type="none" w="sm" len="sm"/>
                          <a:tailEnd type="none" w="sm" len="sm"/>
                        </a:ln>
                      </wps:spPr>
                      <wps:txbx>
                        <w:txbxContent>
                          <w:p w14:paraId="4FB5F3A2" w14:textId="77777777" w:rsidR="008238E6" w:rsidRDefault="00D61AB3">
                            <w:pPr>
                              <w:spacing w:before="0" w:after="0" w:line="240" w:lineRule="auto"/>
                              <w:jc w:val="center"/>
                              <w:textDirection w:val="btLr"/>
                            </w:pPr>
                            <w:r>
                              <w:rPr>
                                <w:color w:val="000000"/>
                              </w:rPr>
                              <w:t>Estudos incluídos:</w:t>
                            </w:r>
                          </w:p>
                          <w:p w14:paraId="4FB5F3A3" w14:textId="77777777" w:rsidR="008238E6" w:rsidRDefault="00D61AB3">
                            <w:pPr>
                              <w:spacing w:before="0" w:after="0" w:line="240" w:lineRule="auto"/>
                              <w:jc w:val="center"/>
                              <w:textDirection w:val="btLr"/>
                            </w:pPr>
                            <w:r>
                              <w:rPr>
                                <w:color w:val="000000"/>
                              </w:rPr>
                              <w:t xml:space="preserve">02 </w:t>
                            </w:r>
                          </w:p>
                        </w:txbxContent>
                      </wps:txbx>
                      <wps:bodyPr spcFirstLastPara="1" wrap="square" lIns="88900" tIns="38100" rIns="88900" bIns="38100" anchor="t" anchorCtr="0">
                        <a:noAutofit/>
                      </wps:bodyPr>
                    </wps:wsp>
                  </a:graphicData>
                </a:graphic>
              </wp:anchor>
            </w:drawing>
          </mc:Choice>
          <mc:Fallback xmlns:a="http://schemas.openxmlformats.org/drawingml/2006/main" xmlns:pic="http://schemas.openxmlformats.org/drawingml/2006/picture" xmlns:arto="http://schemas.microsoft.com/office/word/2006/arto">
            <w:pict w14:anchorId="2AAB9F34">
              <v:rect id="Retângulo 50" style="position:absolute;left:0;text-align:left;margin-left:161pt;margin-top:496pt;width:116.55pt;height:55.4pt;z-index:251658244;visibility:visible;mso-wrap-style:square;mso-wrap-distance-left:9pt;mso-wrap-distance-top:0;mso-wrap-distance-right:9pt;mso-wrap-distance-bottom:0;mso-position-horizontal:absolute;mso-position-horizontal-relative:text;mso-position-vertical:absolute;mso-position-vertical-relative:text;v-text-anchor:top" o:spid="_x0000_s1050" strokeweight="1pt" w14:anchorId="4FB5F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">
                <v:stroke joinstyle="round" startarrowwidth="narrow" startarrowlength="short" endarrowwidth="narrow" endarrowlength="short"/>
                <v:textbox inset="7pt,3pt,7pt,3pt">
                  <w:txbxContent>
                    <w:p w:rsidR="008238E6" w:rsidRDefault="00D61AB3" w14:paraId="1C72062B" w14:textId="77777777">
                      <w:pPr>
                        <w:spacing w:before="0" w:after="0" w:line="240" w:lineRule="auto"/>
                        <w:jc w:val="center"/>
                        <w:textDirection w:val="btLr"/>
                      </w:pPr>
                      <w:r>
                        <w:rPr>
                          <w:color w:val="000000"/>
                        </w:rPr>
                        <w:t>Estudos incluídos:</w:t>
                      </w:r>
                    </w:p>
                    <w:p w:rsidR="008238E6" w:rsidRDefault="00D61AB3" w14:paraId="5771BBE1" w14:textId="77777777">
                      <w:pPr>
                        <w:spacing w:before="0" w:after="0" w:line="240" w:lineRule="auto"/>
                        <w:jc w:val="center"/>
                        <w:textDirection w:val="btLr"/>
                      </w:pPr>
                      <w:r>
                        <w:rPr>
                          <w:color w:val="000000"/>
                        </w:rPr>
                        <w:t xml:space="preserve">02 </w:t>
                      </w:r>
                    </w:p>
                  </w:txbxContent>
                </v:textbox>
              </v:rect>
            </w:pict>
          </mc:Fallback>
        </mc:AlternateContent>
      </w:r>
    </w:p>
    <w:p w14:paraId="4FB5E9F3" w14:textId="77777777" w:rsidR="008238E6" w:rsidRDefault="008238E6">
      <w:pPr>
        <w:spacing w:before="0" w:after="160" w:line="259" w:lineRule="auto"/>
      </w:pPr>
    </w:p>
    <w:p w14:paraId="4FB5E9F4" w14:textId="77777777" w:rsidR="008238E6" w:rsidRDefault="008238E6">
      <w:pPr>
        <w:rPr>
          <w:smallCaps/>
          <w:highlight w:val="cyan"/>
        </w:rPr>
      </w:pPr>
    </w:p>
    <w:tbl>
      <w:tblPr>
        <w:tblStyle w:val="afffff9"/>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9F6" w14:textId="77777777">
        <w:trPr>
          <w:trHeight w:val="416"/>
        </w:trPr>
        <w:tc>
          <w:tcPr>
            <w:tcW w:w="9072" w:type="dxa"/>
            <w:shd w:val="clear" w:color="auto" w:fill="D9E2F3"/>
            <w:vAlign w:val="center"/>
          </w:tcPr>
          <w:p w14:paraId="4FB5E9F5" w14:textId="77777777" w:rsidR="008238E6" w:rsidRDefault="00D61AB3">
            <w:pPr>
              <w:spacing w:before="120" w:after="120"/>
              <w:jc w:val="center"/>
              <w:rPr>
                <w:b/>
              </w:rPr>
            </w:pPr>
            <w:r>
              <w:rPr>
                <w:b/>
              </w:rPr>
              <w:t>Comentários gerais sobre o</w:t>
            </w:r>
            <w:r>
              <w:t xml:space="preserve"> </w:t>
            </w:r>
            <w:r>
              <w:rPr>
                <w:b/>
              </w:rPr>
              <w:t>fluxograma PRISMA</w:t>
            </w:r>
          </w:p>
        </w:tc>
      </w:tr>
      <w:tr w:rsidR="008238E6" w14:paraId="4FB5E9F8" w14:textId="77777777">
        <w:trPr>
          <w:trHeight w:val="750"/>
        </w:trPr>
        <w:tc>
          <w:tcPr>
            <w:tcW w:w="9072" w:type="dxa"/>
            <w:vAlign w:val="center"/>
          </w:tcPr>
          <w:p w14:paraId="4FB5E9F7" w14:textId="77777777" w:rsidR="008238E6" w:rsidRDefault="00D61AB3">
            <w:pPr>
              <w:spacing w:before="120" w:after="120"/>
            </w:pPr>
            <w:r>
              <w:t>O PROPONENTE incluiu um total de 20 estudos, dos quais 13 foram relatos de casos, uma revisão sistemática, um ensaio clínico e cinco estudos de coorte. Os PARECERISTAS selecionaram dois estudos observacionais prospectivos que atendiam aos critérios estabelecidos para os desfechos avaliados. De acordo com a hierarquia de evidências, os relatos de caso não foram considerados para inclusão devido às suas limitações metodológicas.</w:t>
            </w:r>
          </w:p>
        </w:tc>
      </w:tr>
    </w:tbl>
    <w:p w14:paraId="4FB5E9F9" w14:textId="77777777" w:rsidR="008238E6" w:rsidRDefault="008238E6">
      <w:pPr>
        <w:pStyle w:val="Heading4"/>
        <w:rPr>
          <w:b/>
        </w:rPr>
      </w:pPr>
      <w:bookmarkStart w:id="32" w:name="_heading=h.wpgtkyvk7hih" w:colFirst="0" w:colLast="0"/>
      <w:bookmarkEnd w:id="32"/>
    </w:p>
    <w:p w14:paraId="4FB5E9FA" w14:textId="77777777" w:rsidR="008238E6" w:rsidRDefault="00D61AB3">
      <w:pPr>
        <w:pStyle w:val="Heading4"/>
      </w:pPr>
      <w:bookmarkStart w:id="33" w:name="_heading=h.m23sujff8594" w:colFirst="0" w:colLast="0"/>
      <w:bookmarkEnd w:id="33"/>
      <w:r>
        <w:rPr>
          <w:b/>
        </w:rPr>
        <w:t>Quadro 9</w:t>
      </w:r>
      <w:r>
        <w:t>. Estudos excluídos e razões para exclusão (versão do PROPONENTE e do PARECERISTA).</w:t>
      </w:r>
    </w:p>
    <w:p w14:paraId="4FB5E9FB" w14:textId="77777777" w:rsidR="008238E6" w:rsidRDefault="008238E6">
      <w:pPr>
        <w:spacing w:before="0" w:after="0" w:line="240" w:lineRule="auto"/>
        <w:jc w:val="center"/>
      </w:pPr>
    </w:p>
    <w:tbl>
      <w:tblPr>
        <w:tblStyle w:val="afffffa"/>
        <w:tblW w:w="91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6"/>
        <w:gridCol w:w="5386"/>
      </w:tblGrid>
      <w:tr w:rsidR="008238E6" w14:paraId="4FB5E9FD" w14:textId="77777777">
        <w:trPr>
          <w:trHeight w:val="562"/>
          <w:jc w:val="center"/>
        </w:trPr>
        <w:tc>
          <w:tcPr>
            <w:tcW w:w="9142" w:type="dxa"/>
            <w:gridSpan w:val="2"/>
            <w:shd w:val="clear" w:color="auto" w:fill="D9E2F3"/>
          </w:tcPr>
          <w:p w14:paraId="4FB5E9FC" w14:textId="77777777" w:rsidR="008238E6" w:rsidRDefault="00D61AB3">
            <w:pPr>
              <w:spacing w:before="120" w:after="120"/>
              <w:jc w:val="center"/>
              <w:rPr>
                <w:b/>
              </w:rPr>
            </w:pPr>
            <w:r>
              <w:rPr>
                <w:b/>
              </w:rPr>
              <w:t>PROPONENTE</w:t>
            </w:r>
          </w:p>
        </w:tc>
      </w:tr>
      <w:tr w:rsidR="008238E6" w14:paraId="4FB5EA00" w14:textId="77777777">
        <w:trPr>
          <w:trHeight w:val="415"/>
          <w:jc w:val="center"/>
        </w:trPr>
        <w:tc>
          <w:tcPr>
            <w:tcW w:w="3756" w:type="dxa"/>
          </w:tcPr>
          <w:p w14:paraId="4FB5E9FE" w14:textId="77777777" w:rsidR="008238E6" w:rsidRDefault="00D61AB3">
            <w:pPr>
              <w:spacing w:before="120" w:after="120"/>
              <w:jc w:val="center"/>
              <w:rPr>
                <w:b/>
              </w:rPr>
            </w:pPr>
            <w:r>
              <w:rPr>
                <w:b/>
              </w:rPr>
              <w:t>Estudo</w:t>
            </w:r>
          </w:p>
        </w:tc>
        <w:tc>
          <w:tcPr>
            <w:tcW w:w="5386" w:type="dxa"/>
          </w:tcPr>
          <w:p w14:paraId="4FB5E9FF" w14:textId="77777777" w:rsidR="008238E6" w:rsidRDefault="00D61AB3">
            <w:pPr>
              <w:spacing w:before="120" w:after="120"/>
              <w:jc w:val="center"/>
              <w:rPr>
                <w:b/>
              </w:rPr>
            </w:pPr>
            <w:r>
              <w:rPr>
                <w:b/>
              </w:rPr>
              <w:t>Razão para exclusão</w:t>
            </w:r>
          </w:p>
        </w:tc>
      </w:tr>
      <w:tr w:rsidR="008238E6" w14:paraId="4FB5EA03" w14:textId="77777777">
        <w:trPr>
          <w:trHeight w:val="421"/>
          <w:jc w:val="center"/>
        </w:trPr>
        <w:tc>
          <w:tcPr>
            <w:tcW w:w="3756" w:type="dxa"/>
          </w:tcPr>
          <w:p w14:paraId="4FB5EA01" w14:textId="77777777" w:rsidR="008238E6" w:rsidRDefault="00D61AB3">
            <w:pPr>
              <w:spacing w:before="120" w:after="120"/>
              <w:jc w:val="center"/>
            </w:pPr>
            <w:r>
              <w:t>Awa, 2011</w:t>
            </w:r>
          </w:p>
        </w:tc>
        <w:tc>
          <w:tcPr>
            <w:tcW w:w="5386" w:type="dxa"/>
          </w:tcPr>
          <w:p w14:paraId="4FB5EA02" w14:textId="77777777" w:rsidR="008238E6" w:rsidRDefault="00D61AB3">
            <w:pPr>
              <w:spacing w:before="120" w:after="120"/>
              <w:jc w:val="center"/>
            </w:pPr>
            <w:r>
              <w:t>Sem dados desfecho de interesse</w:t>
            </w:r>
          </w:p>
        </w:tc>
      </w:tr>
      <w:tr w:rsidR="008238E6" w14:paraId="4FB5EA06" w14:textId="77777777">
        <w:trPr>
          <w:trHeight w:val="415"/>
          <w:jc w:val="center"/>
        </w:trPr>
        <w:tc>
          <w:tcPr>
            <w:tcW w:w="3756" w:type="dxa"/>
          </w:tcPr>
          <w:p w14:paraId="4FB5EA04" w14:textId="77777777" w:rsidR="008238E6" w:rsidRDefault="00D61AB3">
            <w:pPr>
              <w:spacing w:before="120" w:after="120"/>
              <w:jc w:val="center"/>
            </w:pPr>
            <w:r>
              <w:t>Beck-Nielsen, 1988</w:t>
            </w:r>
          </w:p>
        </w:tc>
        <w:tc>
          <w:tcPr>
            <w:tcW w:w="5386" w:type="dxa"/>
          </w:tcPr>
          <w:p w14:paraId="4FB5EA05" w14:textId="77777777" w:rsidR="008238E6" w:rsidRDefault="00D61AB3">
            <w:pPr>
              <w:spacing w:before="120" w:after="120"/>
              <w:jc w:val="center"/>
            </w:pPr>
            <w:r>
              <w:t>Sem dados desfecho de interesse</w:t>
            </w:r>
          </w:p>
        </w:tc>
      </w:tr>
      <w:tr w:rsidR="008238E6" w14:paraId="4FB5EA09" w14:textId="77777777">
        <w:trPr>
          <w:trHeight w:val="415"/>
          <w:jc w:val="center"/>
        </w:trPr>
        <w:tc>
          <w:tcPr>
            <w:tcW w:w="3756" w:type="dxa"/>
          </w:tcPr>
          <w:p w14:paraId="4FB5EA07" w14:textId="77777777" w:rsidR="008238E6" w:rsidRDefault="00D61AB3">
            <w:pPr>
              <w:spacing w:before="120" w:after="120"/>
              <w:jc w:val="center"/>
            </w:pPr>
            <w:r>
              <w:t>Bellanna©-Chantelot, 2004</w:t>
            </w:r>
          </w:p>
        </w:tc>
        <w:tc>
          <w:tcPr>
            <w:tcW w:w="5386" w:type="dxa"/>
          </w:tcPr>
          <w:p w14:paraId="4FB5EA08" w14:textId="77777777" w:rsidR="008238E6" w:rsidRDefault="00D61AB3">
            <w:pPr>
              <w:spacing w:before="120" w:after="120"/>
              <w:jc w:val="center"/>
            </w:pPr>
            <w:r>
              <w:t>Sem dados desfecho de interesse</w:t>
            </w:r>
          </w:p>
        </w:tc>
      </w:tr>
      <w:tr w:rsidR="008238E6" w14:paraId="4FB5EA0C" w14:textId="77777777">
        <w:trPr>
          <w:trHeight w:val="415"/>
          <w:jc w:val="center"/>
        </w:trPr>
        <w:tc>
          <w:tcPr>
            <w:tcW w:w="3756" w:type="dxa"/>
          </w:tcPr>
          <w:p w14:paraId="4FB5EA0A" w14:textId="77777777" w:rsidR="008238E6" w:rsidRDefault="00D61AB3">
            <w:pPr>
              <w:spacing w:before="120" w:after="120"/>
              <w:jc w:val="center"/>
            </w:pPr>
            <w:r>
              <w:t>Bianda, 1997</w:t>
            </w:r>
          </w:p>
        </w:tc>
        <w:tc>
          <w:tcPr>
            <w:tcW w:w="5386" w:type="dxa"/>
          </w:tcPr>
          <w:p w14:paraId="4FB5EA0B" w14:textId="77777777" w:rsidR="008238E6" w:rsidRDefault="00D61AB3">
            <w:pPr>
              <w:spacing w:before="120" w:after="120"/>
              <w:jc w:val="center"/>
            </w:pPr>
            <w:r>
              <w:t>Sem texto completo</w:t>
            </w:r>
          </w:p>
        </w:tc>
      </w:tr>
      <w:tr w:rsidR="008238E6" w14:paraId="4FB5EA0F" w14:textId="77777777">
        <w:trPr>
          <w:trHeight w:val="415"/>
          <w:jc w:val="center"/>
        </w:trPr>
        <w:tc>
          <w:tcPr>
            <w:tcW w:w="3756" w:type="dxa"/>
          </w:tcPr>
          <w:p w14:paraId="4FB5EA0D" w14:textId="77777777" w:rsidR="008238E6" w:rsidRDefault="00D61AB3">
            <w:pPr>
              <w:spacing w:before="120" w:after="120"/>
              <w:jc w:val="center"/>
            </w:pPr>
            <w:r>
              <w:t>Borowiec, 2012</w:t>
            </w:r>
          </w:p>
        </w:tc>
        <w:tc>
          <w:tcPr>
            <w:tcW w:w="5386" w:type="dxa"/>
          </w:tcPr>
          <w:p w14:paraId="4FB5EA0E" w14:textId="77777777" w:rsidR="008238E6" w:rsidRDefault="00D61AB3">
            <w:pPr>
              <w:spacing w:before="120" w:after="120"/>
              <w:jc w:val="center"/>
            </w:pPr>
            <w:r>
              <w:t>Sem dados desfecho de interesse</w:t>
            </w:r>
          </w:p>
        </w:tc>
      </w:tr>
      <w:tr w:rsidR="008238E6" w14:paraId="4FB5EA12" w14:textId="77777777">
        <w:trPr>
          <w:trHeight w:val="415"/>
          <w:jc w:val="center"/>
        </w:trPr>
        <w:tc>
          <w:tcPr>
            <w:tcW w:w="3756" w:type="dxa"/>
          </w:tcPr>
          <w:p w14:paraId="4FB5EA10" w14:textId="77777777" w:rsidR="008238E6" w:rsidRDefault="00D61AB3">
            <w:pPr>
              <w:spacing w:before="120" w:after="120"/>
              <w:jc w:val="center"/>
            </w:pPr>
            <w:r>
              <w:t>Bosma, 2015</w:t>
            </w:r>
          </w:p>
        </w:tc>
        <w:tc>
          <w:tcPr>
            <w:tcW w:w="5386" w:type="dxa"/>
          </w:tcPr>
          <w:p w14:paraId="4FB5EA11" w14:textId="77777777" w:rsidR="008238E6" w:rsidRDefault="00D61AB3">
            <w:pPr>
              <w:spacing w:before="120" w:after="120"/>
              <w:jc w:val="center"/>
            </w:pPr>
            <w:r>
              <w:t>Sem dados desfecho de interesse</w:t>
            </w:r>
          </w:p>
        </w:tc>
      </w:tr>
      <w:tr w:rsidR="008238E6" w14:paraId="4FB5EA15" w14:textId="77777777">
        <w:trPr>
          <w:trHeight w:val="415"/>
          <w:jc w:val="center"/>
        </w:trPr>
        <w:tc>
          <w:tcPr>
            <w:tcW w:w="3756" w:type="dxa"/>
          </w:tcPr>
          <w:p w14:paraId="4FB5EA13" w14:textId="77777777" w:rsidR="008238E6" w:rsidRDefault="00D61AB3">
            <w:pPr>
              <w:spacing w:before="120" w:after="120"/>
              <w:jc w:val="center"/>
            </w:pPr>
            <w:r>
              <w:t>Bowden, 2018</w:t>
            </w:r>
          </w:p>
        </w:tc>
        <w:tc>
          <w:tcPr>
            <w:tcW w:w="5386" w:type="dxa"/>
          </w:tcPr>
          <w:p w14:paraId="4FB5EA14" w14:textId="77777777" w:rsidR="008238E6" w:rsidRDefault="00D61AB3">
            <w:pPr>
              <w:spacing w:before="120" w:after="120"/>
              <w:jc w:val="center"/>
            </w:pPr>
            <w:r>
              <w:t>Sem dados desfecho de interesse</w:t>
            </w:r>
          </w:p>
        </w:tc>
      </w:tr>
      <w:tr w:rsidR="008238E6" w14:paraId="4FB5EA18" w14:textId="77777777">
        <w:trPr>
          <w:trHeight w:val="415"/>
          <w:jc w:val="center"/>
        </w:trPr>
        <w:tc>
          <w:tcPr>
            <w:tcW w:w="3756" w:type="dxa"/>
          </w:tcPr>
          <w:p w14:paraId="4FB5EA16" w14:textId="77777777" w:rsidR="008238E6" w:rsidRDefault="00D61AB3">
            <w:pPr>
              <w:spacing w:before="120" w:after="120"/>
              <w:jc w:val="center"/>
            </w:pPr>
            <w:r>
              <w:t>BrunerovÃ¡, 2006</w:t>
            </w:r>
          </w:p>
        </w:tc>
        <w:tc>
          <w:tcPr>
            <w:tcW w:w="5386" w:type="dxa"/>
          </w:tcPr>
          <w:p w14:paraId="4FB5EA17" w14:textId="77777777" w:rsidR="008238E6" w:rsidRDefault="00D61AB3">
            <w:pPr>
              <w:spacing w:before="120" w:after="120"/>
              <w:jc w:val="center"/>
            </w:pPr>
            <w:r>
              <w:t>Outra língua</w:t>
            </w:r>
          </w:p>
        </w:tc>
      </w:tr>
      <w:tr w:rsidR="008238E6" w14:paraId="4FB5EA1B" w14:textId="77777777">
        <w:trPr>
          <w:trHeight w:val="415"/>
          <w:jc w:val="center"/>
        </w:trPr>
        <w:tc>
          <w:tcPr>
            <w:tcW w:w="3756" w:type="dxa"/>
          </w:tcPr>
          <w:p w14:paraId="4FB5EA19" w14:textId="77777777" w:rsidR="008238E6" w:rsidRDefault="00D61AB3">
            <w:pPr>
              <w:spacing w:before="120" w:after="120"/>
              <w:jc w:val="center"/>
            </w:pPr>
            <w:r>
              <w:t>Bulman, 1997</w:t>
            </w:r>
          </w:p>
        </w:tc>
        <w:tc>
          <w:tcPr>
            <w:tcW w:w="5386" w:type="dxa"/>
          </w:tcPr>
          <w:p w14:paraId="4FB5EA1A" w14:textId="77777777" w:rsidR="008238E6" w:rsidRDefault="00D61AB3">
            <w:pPr>
              <w:spacing w:before="120" w:after="120"/>
              <w:jc w:val="center"/>
            </w:pPr>
            <w:r>
              <w:t>Sem dados desfecho de interesse</w:t>
            </w:r>
          </w:p>
        </w:tc>
      </w:tr>
      <w:tr w:rsidR="008238E6" w14:paraId="4FB5EA1E" w14:textId="77777777">
        <w:trPr>
          <w:trHeight w:val="415"/>
          <w:jc w:val="center"/>
        </w:trPr>
        <w:tc>
          <w:tcPr>
            <w:tcW w:w="3756" w:type="dxa"/>
          </w:tcPr>
          <w:p w14:paraId="4FB5EA1C" w14:textId="77777777" w:rsidR="008238E6" w:rsidRDefault="00D61AB3">
            <w:pPr>
              <w:spacing w:before="120" w:after="120"/>
              <w:jc w:val="center"/>
            </w:pPr>
            <w:r>
              <w:t>Caetano, 2012</w:t>
            </w:r>
          </w:p>
        </w:tc>
        <w:tc>
          <w:tcPr>
            <w:tcW w:w="5386" w:type="dxa"/>
          </w:tcPr>
          <w:p w14:paraId="4FB5EA1D" w14:textId="77777777" w:rsidR="008238E6" w:rsidRDefault="00D61AB3">
            <w:pPr>
              <w:spacing w:before="120" w:after="120"/>
              <w:jc w:val="center"/>
            </w:pPr>
            <w:r>
              <w:t>Sem dados desfecho de interesse</w:t>
            </w:r>
          </w:p>
        </w:tc>
      </w:tr>
      <w:tr w:rsidR="008238E6" w14:paraId="4FB5EA21" w14:textId="77777777">
        <w:trPr>
          <w:trHeight w:val="415"/>
          <w:jc w:val="center"/>
        </w:trPr>
        <w:tc>
          <w:tcPr>
            <w:tcW w:w="3756" w:type="dxa"/>
          </w:tcPr>
          <w:p w14:paraId="4FB5EA1F" w14:textId="77777777" w:rsidR="008238E6" w:rsidRDefault="00D61AB3">
            <w:pPr>
              <w:spacing w:before="120" w:after="120"/>
              <w:jc w:val="center"/>
            </w:pPr>
            <w:r>
              <w:t xml:space="preserve">Carlsson, 2020 </w:t>
            </w:r>
          </w:p>
        </w:tc>
        <w:tc>
          <w:tcPr>
            <w:tcW w:w="5386" w:type="dxa"/>
          </w:tcPr>
          <w:p w14:paraId="4FB5EA20" w14:textId="77777777" w:rsidR="008238E6" w:rsidRDefault="00D61AB3">
            <w:pPr>
              <w:spacing w:before="120" w:after="120"/>
              <w:jc w:val="center"/>
            </w:pPr>
            <w:r>
              <w:t>Sem dados desfecho de interesse</w:t>
            </w:r>
          </w:p>
        </w:tc>
      </w:tr>
      <w:tr w:rsidR="008238E6" w14:paraId="4FB5EA24" w14:textId="77777777">
        <w:trPr>
          <w:trHeight w:val="415"/>
          <w:jc w:val="center"/>
        </w:trPr>
        <w:tc>
          <w:tcPr>
            <w:tcW w:w="3756" w:type="dxa"/>
          </w:tcPr>
          <w:p w14:paraId="4FB5EA22" w14:textId="77777777" w:rsidR="008238E6" w:rsidRDefault="00D61AB3">
            <w:pPr>
              <w:spacing w:before="120" w:after="120"/>
              <w:jc w:val="center"/>
            </w:pPr>
            <w:r>
              <w:t>Cuesta-MuÃ±oz, 2010</w:t>
            </w:r>
          </w:p>
        </w:tc>
        <w:tc>
          <w:tcPr>
            <w:tcW w:w="5386" w:type="dxa"/>
          </w:tcPr>
          <w:p w14:paraId="4FB5EA23" w14:textId="77777777" w:rsidR="008238E6" w:rsidRDefault="00D61AB3">
            <w:pPr>
              <w:spacing w:before="120" w:after="120"/>
              <w:jc w:val="center"/>
            </w:pPr>
            <w:r>
              <w:t>Sem dados desfecho de interesse</w:t>
            </w:r>
          </w:p>
        </w:tc>
      </w:tr>
      <w:tr w:rsidR="008238E6" w14:paraId="4FB5EA27" w14:textId="77777777">
        <w:trPr>
          <w:trHeight w:val="415"/>
          <w:jc w:val="center"/>
        </w:trPr>
        <w:tc>
          <w:tcPr>
            <w:tcW w:w="3756" w:type="dxa"/>
          </w:tcPr>
          <w:p w14:paraId="4FB5EA25" w14:textId="77777777" w:rsidR="008238E6" w:rsidRDefault="00D61AB3">
            <w:pPr>
              <w:spacing w:before="120" w:after="120"/>
              <w:jc w:val="center"/>
            </w:pPr>
            <w:r>
              <w:t>Datz, 2011</w:t>
            </w:r>
          </w:p>
        </w:tc>
        <w:tc>
          <w:tcPr>
            <w:tcW w:w="5386" w:type="dxa"/>
          </w:tcPr>
          <w:p w14:paraId="4FB5EA26" w14:textId="77777777" w:rsidR="008238E6" w:rsidRDefault="00D61AB3">
            <w:pPr>
              <w:spacing w:before="120" w:after="120"/>
              <w:jc w:val="center"/>
            </w:pPr>
            <w:r>
              <w:t>Outra língua</w:t>
            </w:r>
          </w:p>
        </w:tc>
      </w:tr>
      <w:tr w:rsidR="008238E6" w14:paraId="4FB5EA2A" w14:textId="77777777">
        <w:trPr>
          <w:trHeight w:val="415"/>
          <w:jc w:val="center"/>
        </w:trPr>
        <w:tc>
          <w:tcPr>
            <w:tcW w:w="3756" w:type="dxa"/>
          </w:tcPr>
          <w:p w14:paraId="4FB5EA28" w14:textId="77777777" w:rsidR="008238E6" w:rsidRDefault="00D61AB3">
            <w:pPr>
              <w:spacing w:before="120" w:after="120"/>
              <w:jc w:val="center"/>
            </w:pPr>
            <w:r>
              <w:t>Deiss, 2011</w:t>
            </w:r>
          </w:p>
        </w:tc>
        <w:tc>
          <w:tcPr>
            <w:tcW w:w="5386" w:type="dxa"/>
          </w:tcPr>
          <w:p w14:paraId="4FB5EA29" w14:textId="77777777" w:rsidR="008238E6" w:rsidRDefault="00D61AB3">
            <w:pPr>
              <w:spacing w:before="120" w:after="120"/>
              <w:jc w:val="center"/>
            </w:pPr>
            <w:r>
              <w:t>Outra língua</w:t>
            </w:r>
          </w:p>
        </w:tc>
      </w:tr>
      <w:tr w:rsidR="008238E6" w14:paraId="4FB5EA2D" w14:textId="77777777">
        <w:trPr>
          <w:trHeight w:val="415"/>
          <w:jc w:val="center"/>
        </w:trPr>
        <w:tc>
          <w:tcPr>
            <w:tcW w:w="3756" w:type="dxa"/>
          </w:tcPr>
          <w:p w14:paraId="4FB5EA2B" w14:textId="77777777" w:rsidR="008238E6" w:rsidRDefault="00D61AB3">
            <w:pPr>
              <w:spacing w:before="120" w:after="120"/>
              <w:jc w:val="center"/>
            </w:pPr>
            <w:r>
              <w:t>del Bosque-Plata, 1997</w:t>
            </w:r>
          </w:p>
        </w:tc>
        <w:tc>
          <w:tcPr>
            <w:tcW w:w="5386" w:type="dxa"/>
          </w:tcPr>
          <w:p w14:paraId="4FB5EA2C" w14:textId="77777777" w:rsidR="008238E6" w:rsidRDefault="00D61AB3">
            <w:pPr>
              <w:spacing w:before="120" w:after="120"/>
              <w:jc w:val="center"/>
            </w:pPr>
            <w:r>
              <w:t>Sem texto completo</w:t>
            </w:r>
          </w:p>
        </w:tc>
      </w:tr>
      <w:tr w:rsidR="008238E6" w14:paraId="4FB5EA30" w14:textId="77777777">
        <w:trPr>
          <w:trHeight w:val="415"/>
          <w:jc w:val="center"/>
        </w:trPr>
        <w:tc>
          <w:tcPr>
            <w:tcW w:w="3756" w:type="dxa"/>
          </w:tcPr>
          <w:p w14:paraId="4FB5EA2E" w14:textId="77777777" w:rsidR="008238E6" w:rsidRDefault="00D61AB3">
            <w:pPr>
              <w:spacing w:before="120" w:after="120"/>
              <w:jc w:val="center"/>
            </w:pPr>
            <w:r>
              <w:t>Ellard, 2000</w:t>
            </w:r>
          </w:p>
        </w:tc>
        <w:tc>
          <w:tcPr>
            <w:tcW w:w="5386" w:type="dxa"/>
          </w:tcPr>
          <w:p w14:paraId="4FB5EA2F" w14:textId="77777777" w:rsidR="008238E6" w:rsidRDefault="00D61AB3">
            <w:pPr>
              <w:spacing w:before="120" w:after="120"/>
              <w:jc w:val="center"/>
            </w:pPr>
            <w:r>
              <w:t>População não incluída (gestantes)</w:t>
            </w:r>
          </w:p>
        </w:tc>
      </w:tr>
      <w:tr w:rsidR="008238E6" w14:paraId="4FB5EA33" w14:textId="77777777">
        <w:trPr>
          <w:trHeight w:val="415"/>
          <w:jc w:val="center"/>
        </w:trPr>
        <w:tc>
          <w:tcPr>
            <w:tcW w:w="3756" w:type="dxa"/>
          </w:tcPr>
          <w:p w14:paraId="4FB5EA31" w14:textId="77777777" w:rsidR="008238E6" w:rsidRDefault="00D61AB3">
            <w:pPr>
              <w:spacing w:before="120" w:after="120"/>
              <w:jc w:val="center"/>
            </w:pPr>
            <w:r>
              <w:t>FÃ¼essl, 1983</w:t>
            </w:r>
          </w:p>
        </w:tc>
        <w:tc>
          <w:tcPr>
            <w:tcW w:w="5386" w:type="dxa"/>
          </w:tcPr>
          <w:p w14:paraId="4FB5EA32" w14:textId="77777777" w:rsidR="008238E6" w:rsidRDefault="00D61AB3">
            <w:pPr>
              <w:spacing w:before="120" w:after="120"/>
              <w:jc w:val="center"/>
            </w:pPr>
            <w:r>
              <w:t>Outra língua</w:t>
            </w:r>
          </w:p>
        </w:tc>
      </w:tr>
      <w:tr w:rsidR="008238E6" w14:paraId="4FB5EA36" w14:textId="77777777">
        <w:trPr>
          <w:trHeight w:val="415"/>
          <w:jc w:val="center"/>
        </w:trPr>
        <w:tc>
          <w:tcPr>
            <w:tcW w:w="3756" w:type="dxa"/>
          </w:tcPr>
          <w:p w14:paraId="4FB5EA34" w14:textId="77777777" w:rsidR="008238E6" w:rsidRDefault="00D61AB3">
            <w:pPr>
              <w:spacing w:before="120" w:after="120"/>
              <w:jc w:val="center"/>
            </w:pPr>
            <w:r>
              <w:t>Firdous, 2022</w:t>
            </w:r>
          </w:p>
        </w:tc>
        <w:tc>
          <w:tcPr>
            <w:tcW w:w="5386" w:type="dxa"/>
          </w:tcPr>
          <w:p w14:paraId="4FB5EA35" w14:textId="77777777" w:rsidR="008238E6" w:rsidRDefault="00D61AB3">
            <w:pPr>
              <w:spacing w:before="120" w:after="120"/>
              <w:jc w:val="center"/>
            </w:pPr>
            <w:r>
              <w:t>Sem texto completo</w:t>
            </w:r>
          </w:p>
        </w:tc>
      </w:tr>
      <w:tr w:rsidR="008238E6" w14:paraId="4FB5EA39" w14:textId="77777777">
        <w:trPr>
          <w:trHeight w:val="415"/>
          <w:jc w:val="center"/>
        </w:trPr>
        <w:tc>
          <w:tcPr>
            <w:tcW w:w="3756" w:type="dxa"/>
          </w:tcPr>
          <w:p w14:paraId="4FB5EA37" w14:textId="77777777" w:rsidR="008238E6" w:rsidRDefault="00D61AB3">
            <w:pPr>
              <w:spacing w:before="120" w:after="120"/>
              <w:jc w:val="center"/>
            </w:pPr>
            <w:r>
              <w:t>Flack, 2017</w:t>
            </w:r>
          </w:p>
        </w:tc>
        <w:tc>
          <w:tcPr>
            <w:tcW w:w="5386" w:type="dxa"/>
          </w:tcPr>
          <w:p w14:paraId="4FB5EA38" w14:textId="77777777" w:rsidR="008238E6" w:rsidRDefault="00D61AB3">
            <w:pPr>
              <w:spacing w:before="120" w:after="120"/>
              <w:jc w:val="center"/>
            </w:pPr>
            <w:r>
              <w:t>Carta ao Editor</w:t>
            </w:r>
          </w:p>
        </w:tc>
      </w:tr>
      <w:tr w:rsidR="008238E6" w14:paraId="4FB5EA3C" w14:textId="77777777">
        <w:trPr>
          <w:trHeight w:val="415"/>
          <w:jc w:val="center"/>
        </w:trPr>
        <w:tc>
          <w:tcPr>
            <w:tcW w:w="3756" w:type="dxa"/>
          </w:tcPr>
          <w:p w14:paraId="4FB5EA3A" w14:textId="77777777" w:rsidR="008238E6" w:rsidRDefault="00D61AB3">
            <w:pPr>
              <w:spacing w:before="120" w:after="120"/>
              <w:jc w:val="center"/>
            </w:pPr>
            <w:r>
              <w:t>Frayling, 2003</w:t>
            </w:r>
          </w:p>
        </w:tc>
        <w:tc>
          <w:tcPr>
            <w:tcW w:w="5386" w:type="dxa"/>
          </w:tcPr>
          <w:p w14:paraId="4FB5EA3B" w14:textId="77777777" w:rsidR="008238E6" w:rsidRDefault="00D61AB3">
            <w:pPr>
              <w:spacing w:before="120" w:after="120"/>
              <w:jc w:val="center"/>
            </w:pPr>
            <w:r>
              <w:t>Sem dados desfecho de interesse</w:t>
            </w:r>
          </w:p>
        </w:tc>
      </w:tr>
      <w:tr w:rsidR="008238E6" w14:paraId="4FB5EA3F" w14:textId="77777777">
        <w:trPr>
          <w:trHeight w:val="415"/>
          <w:jc w:val="center"/>
        </w:trPr>
        <w:tc>
          <w:tcPr>
            <w:tcW w:w="3756" w:type="dxa"/>
          </w:tcPr>
          <w:p w14:paraId="4FB5EA3D" w14:textId="77777777" w:rsidR="008238E6" w:rsidRDefault="00D61AB3">
            <w:pPr>
              <w:spacing w:before="120" w:after="120"/>
              <w:jc w:val="center"/>
            </w:pPr>
            <w:r>
              <w:t>Fu, 2019</w:t>
            </w:r>
          </w:p>
        </w:tc>
        <w:tc>
          <w:tcPr>
            <w:tcW w:w="5386" w:type="dxa"/>
          </w:tcPr>
          <w:p w14:paraId="4FB5EA3E" w14:textId="77777777" w:rsidR="008238E6" w:rsidRDefault="00D61AB3">
            <w:pPr>
              <w:spacing w:before="120" w:after="120"/>
              <w:jc w:val="center"/>
            </w:pPr>
            <w:r>
              <w:t>Sem dados desfecho de interesse</w:t>
            </w:r>
          </w:p>
        </w:tc>
      </w:tr>
      <w:tr w:rsidR="008238E6" w14:paraId="4FB5EA42" w14:textId="77777777">
        <w:trPr>
          <w:trHeight w:val="415"/>
          <w:jc w:val="center"/>
        </w:trPr>
        <w:tc>
          <w:tcPr>
            <w:tcW w:w="3756" w:type="dxa"/>
          </w:tcPr>
          <w:p w14:paraId="4FB5EA40" w14:textId="77777777" w:rsidR="008238E6" w:rsidRDefault="00D61AB3">
            <w:pPr>
              <w:spacing w:before="120" w:after="120"/>
              <w:jc w:val="center"/>
            </w:pPr>
            <w:r>
              <w:t>Garrahy, 2019</w:t>
            </w:r>
          </w:p>
        </w:tc>
        <w:tc>
          <w:tcPr>
            <w:tcW w:w="5386" w:type="dxa"/>
          </w:tcPr>
          <w:p w14:paraId="4FB5EA41" w14:textId="77777777" w:rsidR="008238E6" w:rsidRDefault="00D61AB3">
            <w:pPr>
              <w:spacing w:before="120" w:after="120"/>
              <w:jc w:val="center"/>
            </w:pPr>
            <w:r>
              <w:t>População não incluída (gestantes)</w:t>
            </w:r>
          </w:p>
        </w:tc>
      </w:tr>
      <w:tr w:rsidR="008238E6" w14:paraId="4FB5EA45" w14:textId="77777777">
        <w:trPr>
          <w:trHeight w:val="415"/>
          <w:jc w:val="center"/>
        </w:trPr>
        <w:tc>
          <w:tcPr>
            <w:tcW w:w="3756" w:type="dxa"/>
          </w:tcPr>
          <w:p w14:paraId="4FB5EA43" w14:textId="77777777" w:rsidR="008238E6" w:rsidRDefault="00D61AB3">
            <w:pPr>
              <w:spacing w:before="120" w:after="120"/>
              <w:jc w:val="center"/>
            </w:pPr>
            <w:r>
              <w:t>Gregory, 2019</w:t>
            </w:r>
          </w:p>
        </w:tc>
        <w:tc>
          <w:tcPr>
            <w:tcW w:w="5386" w:type="dxa"/>
          </w:tcPr>
          <w:p w14:paraId="4FB5EA44" w14:textId="77777777" w:rsidR="008238E6" w:rsidRDefault="00D61AB3">
            <w:pPr>
              <w:spacing w:before="120" w:after="120"/>
              <w:jc w:val="center"/>
            </w:pPr>
            <w:r>
              <w:t>Sem dados desfecho de interesse</w:t>
            </w:r>
          </w:p>
        </w:tc>
      </w:tr>
      <w:tr w:rsidR="008238E6" w14:paraId="4FB5EA48" w14:textId="77777777">
        <w:trPr>
          <w:trHeight w:val="415"/>
          <w:jc w:val="center"/>
        </w:trPr>
        <w:tc>
          <w:tcPr>
            <w:tcW w:w="3756" w:type="dxa"/>
          </w:tcPr>
          <w:p w14:paraId="4FB5EA46" w14:textId="77777777" w:rsidR="008238E6" w:rsidRDefault="00D61AB3">
            <w:pPr>
              <w:spacing w:before="120" w:after="120"/>
              <w:jc w:val="center"/>
            </w:pPr>
            <w:r>
              <w:t>Guenat, 2000</w:t>
            </w:r>
          </w:p>
        </w:tc>
        <w:tc>
          <w:tcPr>
            <w:tcW w:w="5386" w:type="dxa"/>
          </w:tcPr>
          <w:p w14:paraId="4FB5EA47" w14:textId="77777777" w:rsidR="008238E6" w:rsidRDefault="00D61AB3">
            <w:pPr>
              <w:spacing w:before="120" w:after="120"/>
              <w:jc w:val="center"/>
            </w:pPr>
            <w:r>
              <w:t>Sem dados desfecho de interesse</w:t>
            </w:r>
          </w:p>
        </w:tc>
      </w:tr>
      <w:tr w:rsidR="008238E6" w14:paraId="4FB5EA4B" w14:textId="77777777">
        <w:trPr>
          <w:trHeight w:val="415"/>
          <w:jc w:val="center"/>
        </w:trPr>
        <w:tc>
          <w:tcPr>
            <w:tcW w:w="3756" w:type="dxa"/>
          </w:tcPr>
          <w:p w14:paraId="4FB5EA49" w14:textId="77777777" w:rsidR="008238E6" w:rsidRDefault="00D61AB3">
            <w:pPr>
              <w:spacing w:before="120" w:after="120"/>
              <w:jc w:val="center"/>
            </w:pPr>
            <w:r>
              <w:t>Haliloglu, 2016</w:t>
            </w:r>
          </w:p>
        </w:tc>
        <w:tc>
          <w:tcPr>
            <w:tcW w:w="5386" w:type="dxa"/>
          </w:tcPr>
          <w:p w14:paraId="4FB5EA4A" w14:textId="77777777" w:rsidR="008238E6" w:rsidRDefault="00D61AB3">
            <w:pPr>
              <w:spacing w:before="120" w:after="120"/>
              <w:jc w:val="center"/>
            </w:pPr>
            <w:r>
              <w:t>Sem dados desfecho de interesse</w:t>
            </w:r>
          </w:p>
        </w:tc>
      </w:tr>
      <w:tr w:rsidR="008238E6" w14:paraId="4FB5EA4E" w14:textId="77777777">
        <w:trPr>
          <w:trHeight w:val="415"/>
          <w:jc w:val="center"/>
        </w:trPr>
        <w:tc>
          <w:tcPr>
            <w:tcW w:w="3756" w:type="dxa"/>
          </w:tcPr>
          <w:p w14:paraId="4FB5EA4C" w14:textId="77777777" w:rsidR="008238E6" w:rsidRDefault="00D61AB3">
            <w:pPr>
              <w:spacing w:before="120" w:after="120"/>
              <w:jc w:val="center"/>
            </w:pPr>
            <w:r>
              <w:t>Hani, 1998</w:t>
            </w:r>
          </w:p>
        </w:tc>
        <w:tc>
          <w:tcPr>
            <w:tcW w:w="5386" w:type="dxa"/>
          </w:tcPr>
          <w:p w14:paraId="4FB5EA4D" w14:textId="77777777" w:rsidR="008238E6" w:rsidRDefault="00D61AB3">
            <w:pPr>
              <w:spacing w:before="120" w:after="120"/>
              <w:jc w:val="center"/>
            </w:pPr>
            <w:r>
              <w:t>Sem dados desfecho de interesse</w:t>
            </w:r>
          </w:p>
        </w:tc>
      </w:tr>
      <w:tr w:rsidR="008238E6" w14:paraId="4FB5EA51" w14:textId="77777777">
        <w:trPr>
          <w:trHeight w:val="415"/>
          <w:jc w:val="center"/>
        </w:trPr>
        <w:tc>
          <w:tcPr>
            <w:tcW w:w="3756" w:type="dxa"/>
          </w:tcPr>
          <w:p w14:paraId="4FB5EA4F" w14:textId="77777777" w:rsidR="008238E6" w:rsidRDefault="00D61AB3">
            <w:pPr>
              <w:spacing w:before="120" w:after="120"/>
              <w:jc w:val="center"/>
            </w:pPr>
            <w:r>
              <w:t>Heidenreich, 2014</w:t>
            </w:r>
          </w:p>
        </w:tc>
        <w:tc>
          <w:tcPr>
            <w:tcW w:w="5386" w:type="dxa"/>
          </w:tcPr>
          <w:p w14:paraId="4FB5EA50" w14:textId="77777777" w:rsidR="008238E6" w:rsidRDefault="00D61AB3">
            <w:pPr>
              <w:spacing w:before="120" w:after="120"/>
              <w:jc w:val="center"/>
            </w:pPr>
            <w:r>
              <w:t>Sem texto completo</w:t>
            </w:r>
          </w:p>
        </w:tc>
      </w:tr>
      <w:tr w:rsidR="008238E6" w14:paraId="4FB5EA54" w14:textId="77777777">
        <w:trPr>
          <w:trHeight w:val="415"/>
          <w:jc w:val="center"/>
        </w:trPr>
        <w:tc>
          <w:tcPr>
            <w:tcW w:w="3756" w:type="dxa"/>
          </w:tcPr>
          <w:p w14:paraId="4FB5EA52" w14:textId="77777777" w:rsidR="008238E6" w:rsidRDefault="00D61AB3">
            <w:pPr>
              <w:spacing w:before="120" w:after="120"/>
              <w:jc w:val="center"/>
            </w:pPr>
            <w:r>
              <w:t>Hohendorff, 2017</w:t>
            </w:r>
          </w:p>
        </w:tc>
        <w:tc>
          <w:tcPr>
            <w:tcW w:w="5386" w:type="dxa"/>
          </w:tcPr>
          <w:p w14:paraId="4FB5EA53" w14:textId="77777777" w:rsidR="008238E6" w:rsidRDefault="00D61AB3">
            <w:pPr>
              <w:spacing w:before="120" w:after="120"/>
              <w:jc w:val="center"/>
            </w:pPr>
            <w:r>
              <w:t>Sem dados desfecho de interesse</w:t>
            </w:r>
          </w:p>
        </w:tc>
      </w:tr>
      <w:tr w:rsidR="008238E6" w14:paraId="4FB5EA57" w14:textId="77777777">
        <w:trPr>
          <w:trHeight w:val="415"/>
          <w:jc w:val="center"/>
        </w:trPr>
        <w:tc>
          <w:tcPr>
            <w:tcW w:w="3756" w:type="dxa"/>
          </w:tcPr>
          <w:p w14:paraId="4FB5EA55" w14:textId="77777777" w:rsidR="008238E6" w:rsidRDefault="00D61AB3">
            <w:pPr>
              <w:spacing w:before="120" w:after="120"/>
              <w:jc w:val="center"/>
            </w:pPr>
            <w:r>
              <w:t>Isomaa, 1998</w:t>
            </w:r>
          </w:p>
        </w:tc>
        <w:tc>
          <w:tcPr>
            <w:tcW w:w="5386" w:type="dxa"/>
          </w:tcPr>
          <w:p w14:paraId="4FB5EA56" w14:textId="77777777" w:rsidR="008238E6" w:rsidRDefault="00D61AB3">
            <w:pPr>
              <w:spacing w:before="120" w:after="120"/>
              <w:jc w:val="center"/>
            </w:pPr>
            <w:r>
              <w:t>Sem dados desfecho de interesse</w:t>
            </w:r>
          </w:p>
        </w:tc>
      </w:tr>
      <w:tr w:rsidR="008238E6" w14:paraId="4FB5EA5A" w14:textId="77777777">
        <w:trPr>
          <w:trHeight w:val="415"/>
          <w:jc w:val="center"/>
        </w:trPr>
        <w:tc>
          <w:tcPr>
            <w:tcW w:w="3756" w:type="dxa"/>
          </w:tcPr>
          <w:p w14:paraId="4FB5EA58" w14:textId="77777777" w:rsidR="008238E6" w:rsidRDefault="00D61AB3">
            <w:pPr>
              <w:spacing w:before="120" w:after="120"/>
              <w:jc w:val="center"/>
            </w:pPr>
            <w:r>
              <w:t>Karges, 2007</w:t>
            </w:r>
          </w:p>
        </w:tc>
        <w:tc>
          <w:tcPr>
            <w:tcW w:w="5386" w:type="dxa"/>
          </w:tcPr>
          <w:p w14:paraId="4FB5EA59" w14:textId="77777777" w:rsidR="008238E6" w:rsidRDefault="00D61AB3">
            <w:pPr>
              <w:spacing w:before="120" w:after="120"/>
              <w:jc w:val="center"/>
            </w:pPr>
            <w:r>
              <w:t>Sem dados desfecho de interesse</w:t>
            </w:r>
          </w:p>
        </w:tc>
      </w:tr>
      <w:tr w:rsidR="008238E6" w14:paraId="4FB5EA5D" w14:textId="77777777">
        <w:trPr>
          <w:trHeight w:val="415"/>
          <w:jc w:val="center"/>
        </w:trPr>
        <w:tc>
          <w:tcPr>
            <w:tcW w:w="3756" w:type="dxa"/>
          </w:tcPr>
          <w:p w14:paraId="4FB5EA5B" w14:textId="77777777" w:rsidR="008238E6" w:rsidRDefault="00D61AB3">
            <w:pPr>
              <w:spacing w:before="120" w:after="120"/>
              <w:jc w:val="center"/>
            </w:pPr>
            <w:r>
              <w:t>Kavvoura, 2012</w:t>
            </w:r>
          </w:p>
        </w:tc>
        <w:tc>
          <w:tcPr>
            <w:tcW w:w="5386" w:type="dxa"/>
          </w:tcPr>
          <w:p w14:paraId="4FB5EA5C" w14:textId="77777777" w:rsidR="008238E6" w:rsidRDefault="00D61AB3">
            <w:pPr>
              <w:spacing w:before="120" w:after="120"/>
              <w:jc w:val="center"/>
            </w:pPr>
            <w:r>
              <w:t>Sem dados desfecho de interesse</w:t>
            </w:r>
          </w:p>
        </w:tc>
      </w:tr>
      <w:tr w:rsidR="008238E6" w14:paraId="4FB5EA60" w14:textId="77777777">
        <w:trPr>
          <w:trHeight w:val="415"/>
          <w:jc w:val="center"/>
        </w:trPr>
        <w:tc>
          <w:tcPr>
            <w:tcW w:w="3756" w:type="dxa"/>
          </w:tcPr>
          <w:p w14:paraId="4FB5EA5E" w14:textId="77777777" w:rsidR="008238E6" w:rsidRDefault="00D61AB3">
            <w:pPr>
              <w:spacing w:before="120" w:after="120"/>
              <w:jc w:val="center"/>
            </w:pPr>
            <w:r>
              <w:t>Li, 2014</w:t>
            </w:r>
          </w:p>
        </w:tc>
        <w:tc>
          <w:tcPr>
            <w:tcW w:w="5386" w:type="dxa"/>
          </w:tcPr>
          <w:p w14:paraId="4FB5EA5F" w14:textId="77777777" w:rsidR="008238E6" w:rsidRDefault="00D61AB3">
            <w:pPr>
              <w:spacing w:before="120" w:after="120"/>
              <w:jc w:val="center"/>
            </w:pPr>
            <w:r>
              <w:t>Outra língua</w:t>
            </w:r>
          </w:p>
        </w:tc>
      </w:tr>
      <w:tr w:rsidR="008238E6" w14:paraId="4FB5EA63" w14:textId="77777777">
        <w:trPr>
          <w:trHeight w:val="415"/>
          <w:jc w:val="center"/>
        </w:trPr>
        <w:tc>
          <w:tcPr>
            <w:tcW w:w="3756" w:type="dxa"/>
          </w:tcPr>
          <w:p w14:paraId="4FB5EA61" w14:textId="77777777" w:rsidR="008238E6" w:rsidRDefault="00D61AB3">
            <w:pPr>
              <w:spacing w:before="120" w:after="120"/>
              <w:jc w:val="center"/>
            </w:pPr>
            <w:r>
              <w:t>Lopez, 2016</w:t>
            </w:r>
          </w:p>
        </w:tc>
        <w:tc>
          <w:tcPr>
            <w:tcW w:w="5386" w:type="dxa"/>
          </w:tcPr>
          <w:p w14:paraId="4FB5EA62" w14:textId="77777777" w:rsidR="008238E6" w:rsidRDefault="00D61AB3">
            <w:pPr>
              <w:spacing w:before="120" w:after="120"/>
              <w:jc w:val="center"/>
            </w:pPr>
            <w:r>
              <w:t>Sem dados desfecho de interesse</w:t>
            </w:r>
          </w:p>
        </w:tc>
      </w:tr>
      <w:tr w:rsidR="008238E6" w14:paraId="4FB5EA66" w14:textId="77777777">
        <w:trPr>
          <w:trHeight w:val="415"/>
          <w:jc w:val="center"/>
        </w:trPr>
        <w:tc>
          <w:tcPr>
            <w:tcW w:w="3756" w:type="dxa"/>
          </w:tcPr>
          <w:p w14:paraId="4FB5EA64" w14:textId="77777777" w:rsidR="008238E6" w:rsidRDefault="00D61AB3">
            <w:pPr>
              <w:spacing w:before="120" w:after="120"/>
              <w:jc w:val="center"/>
            </w:pPr>
            <w:r>
              <w:t xml:space="preserve">Ma, 2020 </w:t>
            </w:r>
          </w:p>
        </w:tc>
        <w:tc>
          <w:tcPr>
            <w:tcW w:w="5386" w:type="dxa"/>
          </w:tcPr>
          <w:p w14:paraId="4FB5EA65" w14:textId="77777777" w:rsidR="008238E6" w:rsidRDefault="00D61AB3">
            <w:pPr>
              <w:spacing w:before="120" w:after="120"/>
              <w:jc w:val="center"/>
            </w:pPr>
            <w:r>
              <w:t>Outra língua</w:t>
            </w:r>
          </w:p>
        </w:tc>
      </w:tr>
      <w:tr w:rsidR="008238E6" w14:paraId="4FB5EA69" w14:textId="77777777">
        <w:trPr>
          <w:trHeight w:val="415"/>
          <w:jc w:val="center"/>
        </w:trPr>
        <w:tc>
          <w:tcPr>
            <w:tcW w:w="3756" w:type="dxa"/>
          </w:tcPr>
          <w:p w14:paraId="4FB5EA67" w14:textId="77777777" w:rsidR="008238E6" w:rsidRDefault="00D61AB3">
            <w:pPr>
              <w:spacing w:before="120" w:after="120"/>
              <w:jc w:val="center"/>
            </w:pPr>
            <w:r>
              <w:t>Maltoni, 2012</w:t>
            </w:r>
          </w:p>
        </w:tc>
        <w:tc>
          <w:tcPr>
            <w:tcW w:w="5386" w:type="dxa"/>
          </w:tcPr>
          <w:p w14:paraId="4FB5EA68" w14:textId="77777777" w:rsidR="008238E6" w:rsidRDefault="00D61AB3">
            <w:pPr>
              <w:spacing w:before="120" w:after="120"/>
              <w:jc w:val="center"/>
            </w:pPr>
            <w:r>
              <w:t>Sem dados desfecho de interesse</w:t>
            </w:r>
          </w:p>
        </w:tc>
      </w:tr>
      <w:tr w:rsidR="008238E6" w14:paraId="4FB5EA6C" w14:textId="77777777">
        <w:trPr>
          <w:trHeight w:val="415"/>
          <w:jc w:val="center"/>
        </w:trPr>
        <w:tc>
          <w:tcPr>
            <w:tcW w:w="3756" w:type="dxa"/>
          </w:tcPr>
          <w:p w14:paraId="4FB5EA6A" w14:textId="77777777" w:rsidR="008238E6" w:rsidRDefault="00D61AB3">
            <w:pPr>
              <w:spacing w:before="120" w:after="120"/>
              <w:jc w:val="center"/>
            </w:pPr>
            <w:r>
              <w:t>Martin, 2008</w:t>
            </w:r>
          </w:p>
        </w:tc>
        <w:tc>
          <w:tcPr>
            <w:tcW w:w="5386" w:type="dxa"/>
          </w:tcPr>
          <w:p w14:paraId="4FB5EA6B" w14:textId="77777777" w:rsidR="008238E6" w:rsidRDefault="00D61AB3">
            <w:pPr>
              <w:spacing w:before="120" w:after="120"/>
              <w:jc w:val="center"/>
            </w:pPr>
            <w:r>
              <w:t>Sem dados desfecho de interesse</w:t>
            </w:r>
          </w:p>
        </w:tc>
      </w:tr>
      <w:tr w:rsidR="008238E6" w14:paraId="4FB5EA6F" w14:textId="77777777">
        <w:trPr>
          <w:trHeight w:val="415"/>
          <w:jc w:val="center"/>
        </w:trPr>
        <w:tc>
          <w:tcPr>
            <w:tcW w:w="3756" w:type="dxa"/>
          </w:tcPr>
          <w:p w14:paraId="4FB5EA6D" w14:textId="77777777" w:rsidR="008238E6" w:rsidRDefault="00D61AB3">
            <w:pPr>
              <w:spacing w:before="120" w:after="120"/>
              <w:jc w:val="center"/>
            </w:pPr>
            <w:r>
              <w:t>Massa, 2001</w:t>
            </w:r>
          </w:p>
        </w:tc>
        <w:tc>
          <w:tcPr>
            <w:tcW w:w="5386" w:type="dxa"/>
          </w:tcPr>
          <w:p w14:paraId="4FB5EA6E" w14:textId="77777777" w:rsidR="008238E6" w:rsidRDefault="00D61AB3">
            <w:pPr>
              <w:spacing w:before="120" w:after="120"/>
              <w:jc w:val="center"/>
            </w:pPr>
            <w:r>
              <w:t>Sem dados desfecho de interesse</w:t>
            </w:r>
          </w:p>
        </w:tc>
      </w:tr>
      <w:tr w:rsidR="008238E6" w14:paraId="4FB5EA72" w14:textId="77777777">
        <w:trPr>
          <w:trHeight w:val="415"/>
          <w:jc w:val="center"/>
        </w:trPr>
        <w:tc>
          <w:tcPr>
            <w:tcW w:w="3756" w:type="dxa"/>
          </w:tcPr>
          <w:p w14:paraId="4FB5EA70" w14:textId="77777777" w:rsidR="008238E6" w:rsidRDefault="00D61AB3">
            <w:pPr>
              <w:spacing w:before="120" w:after="120"/>
              <w:jc w:val="center"/>
            </w:pPr>
            <w:r>
              <w:t>McCarthy, 1994</w:t>
            </w:r>
          </w:p>
        </w:tc>
        <w:tc>
          <w:tcPr>
            <w:tcW w:w="5386" w:type="dxa"/>
          </w:tcPr>
          <w:p w14:paraId="4FB5EA71" w14:textId="77777777" w:rsidR="008238E6" w:rsidRDefault="00D61AB3">
            <w:pPr>
              <w:spacing w:before="120" w:after="120"/>
              <w:jc w:val="center"/>
            </w:pPr>
            <w:r>
              <w:t>Sem texto completo</w:t>
            </w:r>
          </w:p>
        </w:tc>
      </w:tr>
      <w:tr w:rsidR="008238E6" w14:paraId="4FB5EA75" w14:textId="77777777">
        <w:trPr>
          <w:trHeight w:val="415"/>
          <w:jc w:val="center"/>
        </w:trPr>
        <w:tc>
          <w:tcPr>
            <w:tcW w:w="3756" w:type="dxa"/>
          </w:tcPr>
          <w:p w14:paraId="4FB5EA73" w14:textId="77777777" w:rsidR="008238E6" w:rsidRDefault="00D61AB3">
            <w:pPr>
              <w:spacing w:before="120" w:after="120"/>
              <w:jc w:val="center"/>
            </w:pPr>
            <w:r>
              <w:t>Ng, 2022</w:t>
            </w:r>
          </w:p>
        </w:tc>
        <w:tc>
          <w:tcPr>
            <w:tcW w:w="5386" w:type="dxa"/>
          </w:tcPr>
          <w:p w14:paraId="4FB5EA74" w14:textId="77777777" w:rsidR="008238E6" w:rsidRDefault="00D61AB3">
            <w:pPr>
              <w:spacing w:before="120" w:after="120"/>
              <w:jc w:val="center"/>
            </w:pPr>
            <w:r>
              <w:t>Sem texto completo</w:t>
            </w:r>
          </w:p>
        </w:tc>
      </w:tr>
      <w:tr w:rsidR="008238E6" w14:paraId="4FB5EA78" w14:textId="77777777">
        <w:trPr>
          <w:trHeight w:val="415"/>
          <w:jc w:val="center"/>
        </w:trPr>
        <w:tc>
          <w:tcPr>
            <w:tcW w:w="3756" w:type="dxa"/>
          </w:tcPr>
          <w:p w14:paraId="4FB5EA76" w14:textId="77777777" w:rsidR="008238E6" w:rsidRDefault="00D61AB3">
            <w:pPr>
              <w:spacing w:before="120" w:after="120"/>
              <w:jc w:val="center"/>
            </w:pPr>
            <w:r>
              <w:t>NjÃ, 1998</w:t>
            </w:r>
          </w:p>
        </w:tc>
        <w:tc>
          <w:tcPr>
            <w:tcW w:w="5386" w:type="dxa"/>
          </w:tcPr>
          <w:p w14:paraId="4FB5EA77" w14:textId="77777777" w:rsidR="008238E6" w:rsidRDefault="00D61AB3">
            <w:pPr>
              <w:spacing w:before="120" w:after="120"/>
              <w:jc w:val="center"/>
            </w:pPr>
            <w:r>
              <w:t>Sem texto completo</w:t>
            </w:r>
          </w:p>
        </w:tc>
      </w:tr>
      <w:tr w:rsidR="008238E6" w14:paraId="4FB5EA7B" w14:textId="77777777">
        <w:trPr>
          <w:trHeight w:val="415"/>
          <w:jc w:val="center"/>
        </w:trPr>
        <w:tc>
          <w:tcPr>
            <w:tcW w:w="3756" w:type="dxa"/>
          </w:tcPr>
          <w:p w14:paraId="4FB5EA79" w14:textId="77777777" w:rsidR="008238E6" w:rsidRDefault="00D61AB3">
            <w:pPr>
              <w:spacing w:before="120" w:after="120"/>
              <w:jc w:val="center"/>
            </w:pPr>
            <w:r>
              <w:t>Nobre, 2002</w:t>
            </w:r>
          </w:p>
        </w:tc>
        <w:tc>
          <w:tcPr>
            <w:tcW w:w="5386" w:type="dxa"/>
          </w:tcPr>
          <w:p w14:paraId="4FB5EA7A" w14:textId="77777777" w:rsidR="008238E6" w:rsidRDefault="00D61AB3">
            <w:pPr>
              <w:spacing w:before="120" w:after="120"/>
              <w:jc w:val="center"/>
            </w:pPr>
            <w:r>
              <w:t>Sem dados desfecho de interesse</w:t>
            </w:r>
          </w:p>
        </w:tc>
      </w:tr>
      <w:tr w:rsidR="008238E6" w14:paraId="4FB5EA7E" w14:textId="77777777">
        <w:trPr>
          <w:trHeight w:val="415"/>
          <w:jc w:val="center"/>
        </w:trPr>
        <w:tc>
          <w:tcPr>
            <w:tcW w:w="3756" w:type="dxa"/>
          </w:tcPr>
          <w:p w14:paraId="4FB5EA7C" w14:textId="77777777" w:rsidR="008238E6" w:rsidRDefault="00D61AB3">
            <w:pPr>
              <w:spacing w:before="120" w:after="120"/>
              <w:jc w:val="center"/>
            </w:pPr>
            <w:r>
              <w:t>Odem, 2009</w:t>
            </w:r>
          </w:p>
        </w:tc>
        <w:tc>
          <w:tcPr>
            <w:tcW w:w="5386" w:type="dxa"/>
          </w:tcPr>
          <w:p w14:paraId="4FB5EA7D" w14:textId="77777777" w:rsidR="008238E6" w:rsidRDefault="00D61AB3">
            <w:pPr>
              <w:spacing w:before="120" w:after="120"/>
              <w:jc w:val="center"/>
            </w:pPr>
            <w:r>
              <w:t>Sem dados desfecho de interesse</w:t>
            </w:r>
          </w:p>
        </w:tc>
      </w:tr>
      <w:tr w:rsidR="008238E6" w14:paraId="4FB5EA81" w14:textId="77777777">
        <w:trPr>
          <w:trHeight w:val="415"/>
          <w:jc w:val="center"/>
        </w:trPr>
        <w:tc>
          <w:tcPr>
            <w:tcW w:w="3756" w:type="dxa"/>
          </w:tcPr>
          <w:p w14:paraId="4FB5EA7F" w14:textId="77777777" w:rsidR="008238E6" w:rsidRDefault="00D61AB3">
            <w:pPr>
              <w:spacing w:before="120" w:after="120"/>
              <w:jc w:val="center"/>
            </w:pPr>
            <w:r>
              <w:t>Page, 1995</w:t>
            </w:r>
          </w:p>
        </w:tc>
        <w:tc>
          <w:tcPr>
            <w:tcW w:w="5386" w:type="dxa"/>
          </w:tcPr>
          <w:p w14:paraId="4FB5EA80" w14:textId="77777777" w:rsidR="008238E6" w:rsidRDefault="00D61AB3">
            <w:pPr>
              <w:spacing w:before="120" w:after="120"/>
              <w:jc w:val="center"/>
            </w:pPr>
            <w:r>
              <w:t>Sem dados desfecho de interesse</w:t>
            </w:r>
          </w:p>
        </w:tc>
      </w:tr>
      <w:tr w:rsidR="008238E6" w14:paraId="4FB5EA84" w14:textId="77777777">
        <w:trPr>
          <w:trHeight w:val="415"/>
          <w:jc w:val="center"/>
        </w:trPr>
        <w:tc>
          <w:tcPr>
            <w:tcW w:w="3756" w:type="dxa"/>
          </w:tcPr>
          <w:p w14:paraId="4FB5EA82" w14:textId="77777777" w:rsidR="008238E6" w:rsidRDefault="00D61AB3">
            <w:pPr>
              <w:spacing w:before="120" w:after="120"/>
              <w:jc w:val="center"/>
            </w:pPr>
            <w:r>
              <w:t>Pandian, 2020</w:t>
            </w:r>
          </w:p>
        </w:tc>
        <w:tc>
          <w:tcPr>
            <w:tcW w:w="5386" w:type="dxa"/>
          </w:tcPr>
          <w:p w14:paraId="4FB5EA83" w14:textId="77777777" w:rsidR="008238E6" w:rsidRDefault="00D61AB3">
            <w:pPr>
              <w:spacing w:before="120" w:after="120"/>
              <w:jc w:val="center"/>
            </w:pPr>
            <w:r>
              <w:t>Sem dados desfecho de interesse</w:t>
            </w:r>
          </w:p>
        </w:tc>
      </w:tr>
      <w:tr w:rsidR="008238E6" w14:paraId="4FB5EA87" w14:textId="77777777">
        <w:trPr>
          <w:trHeight w:val="415"/>
          <w:jc w:val="center"/>
        </w:trPr>
        <w:tc>
          <w:tcPr>
            <w:tcW w:w="3756" w:type="dxa"/>
          </w:tcPr>
          <w:p w14:paraId="4FB5EA85" w14:textId="77777777" w:rsidR="008238E6" w:rsidRDefault="00D61AB3">
            <w:pPr>
              <w:spacing w:before="120" w:after="120"/>
              <w:jc w:val="center"/>
            </w:pPr>
            <w:r>
              <w:t>Pearson, 2001</w:t>
            </w:r>
          </w:p>
        </w:tc>
        <w:tc>
          <w:tcPr>
            <w:tcW w:w="5386" w:type="dxa"/>
          </w:tcPr>
          <w:p w14:paraId="4FB5EA86" w14:textId="77777777" w:rsidR="008238E6" w:rsidRDefault="00D61AB3">
            <w:pPr>
              <w:spacing w:before="120" w:after="120"/>
              <w:jc w:val="center"/>
            </w:pPr>
            <w:r>
              <w:t>Sem dados desfecho de interesse</w:t>
            </w:r>
          </w:p>
        </w:tc>
      </w:tr>
      <w:tr w:rsidR="008238E6" w14:paraId="4FB5EA8A" w14:textId="77777777">
        <w:trPr>
          <w:trHeight w:val="415"/>
          <w:jc w:val="center"/>
        </w:trPr>
        <w:tc>
          <w:tcPr>
            <w:tcW w:w="3756" w:type="dxa"/>
          </w:tcPr>
          <w:p w14:paraId="4FB5EA88" w14:textId="77777777" w:rsidR="008238E6" w:rsidRDefault="00D61AB3">
            <w:pPr>
              <w:spacing w:before="120" w:after="120"/>
              <w:jc w:val="center"/>
            </w:pPr>
            <w:r>
              <w:t>PinÃ©s, 2010</w:t>
            </w:r>
          </w:p>
        </w:tc>
        <w:tc>
          <w:tcPr>
            <w:tcW w:w="5386" w:type="dxa"/>
          </w:tcPr>
          <w:p w14:paraId="4FB5EA89" w14:textId="77777777" w:rsidR="008238E6" w:rsidRDefault="00D61AB3">
            <w:pPr>
              <w:spacing w:before="120" w:after="120"/>
              <w:jc w:val="center"/>
            </w:pPr>
            <w:r>
              <w:t>Sem dados desfecho de interesse</w:t>
            </w:r>
          </w:p>
        </w:tc>
      </w:tr>
      <w:tr w:rsidR="008238E6" w14:paraId="4FB5EA8D" w14:textId="77777777">
        <w:trPr>
          <w:trHeight w:val="415"/>
          <w:jc w:val="center"/>
        </w:trPr>
        <w:tc>
          <w:tcPr>
            <w:tcW w:w="3756" w:type="dxa"/>
          </w:tcPr>
          <w:p w14:paraId="4FB5EA8B" w14:textId="77777777" w:rsidR="008238E6" w:rsidRDefault="00D61AB3">
            <w:pPr>
              <w:spacing w:before="120" w:after="120"/>
              <w:jc w:val="center"/>
            </w:pPr>
            <w:r>
              <w:t>Rudland, 2019</w:t>
            </w:r>
          </w:p>
        </w:tc>
        <w:tc>
          <w:tcPr>
            <w:tcW w:w="5386" w:type="dxa"/>
          </w:tcPr>
          <w:p w14:paraId="4FB5EA8C" w14:textId="77777777" w:rsidR="008238E6" w:rsidRDefault="00D61AB3">
            <w:pPr>
              <w:spacing w:before="120" w:after="120"/>
              <w:jc w:val="center"/>
            </w:pPr>
            <w:r>
              <w:t>População não incluída (gestantes)</w:t>
            </w:r>
          </w:p>
        </w:tc>
      </w:tr>
      <w:tr w:rsidR="008238E6" w14:paraId="4FB5EA90" w14:textId="77777777">
        <w:trPr>
          <w:trHeight w:val="415"/>
          <w:jc w:val="center"/>
        </w:trPr>
        <w:tc>
          <w:tcPr>
            <w:tcW w:w="3756" w:type="dxa"/>
          </w:tcPr>
          <w:p w14:paraId="4FB5EA8E" w14:textId="77777777" w:rsidR="008238E6" w:rsidRDefault="00D61AB3">
            <w:pPr>
              <w:spacing w:before="120" w:after="120"/>
              <w:jc w:val="center"/>
            </w:pPr>
            <w:r>
              <w:t>Shepherd, 2004</w:t>
            </w:r>
          </w:p>
        </w:tc>
        <w:tc>
          <w:tcPr>
            <w:tcW w:w="5386" w:type="dxa"/>
          </w:tcPr>
          <w:p w14:paraId="4FB5EA8F" w14:textId="77777777" w:rsidR="008238E6" w:rsidRDefault="00D61AB3">
            <w:pPr>
              <w:spacing w:before="120" w:after="120"/>
              <w:jc w:val="center"/>
            </w:pPr>
            <w:r>
              <w:t>Sem dados desfecho de interesse</w:t>
            </w:r>
          </w:p>
        </w:tc>
      </w:tr>
      <w:tr w:rsidR="008238E6" w14:paraId="4FB5EA93" w14:textId="77777777">
        <w:trPr>
          <w:trHeight w:val="415"/>
          <w:jc w:val="center"/>
        </w:trPr>
        <w:tc>
          <w:tcPr>
            <w:tcW w:w="3756" w:type="dxa"/>
          </w:tcPr>
          <w:p w14:paraId="4FB5EA91" w14:textId="77777777" w:rsidR="008238E6" w:rsidRDefault="00D61AB3">
            <w:pPr>
              <w:spacing w:before="120" w:after="120"/>
              <w:jc w:val="center"/>
            </w:pPr>
            <w:r>
              <w:t>SkaÅ, 2016</w:t>
            </w:r>
          </w:p>
        </w:tc>
        <w:tc>
          <w:tcPr>
            <w:tcW w:w="5386" w:type="dxa"/>
          </w:tcPr>
          <w:p w14:paraId="4FB5EA92" w14:textId="77777777" w:rsidR="008238E6" w:rsidRDefault="00D61AB3">
            <w:pPr>
              <w:spacing w:before="120" w:after="120"/>
              <w:jc w:val="center"/>
            </w:pPr>
            <w:r>
              <w:t>Outra língua</w:t>
            </w:r>
          </w:p>
        </w:tc>
      </w:tr>
      <w:tr w:rsidR="008238E6" w14:paraId="4FB5EA96" w14:textId="77777777">
        <w:trPr>
          <w:trHeight w:val="415"/>
          <w:jc w:val="center"/>
        </w:trPr>
        <w:tc>
          <w:tcPr>
            <w:tcW w:w="3756" w:type="dxa"/>
          </w:tcPr>
          <w:p w14:paraId="4FB5EA94" w14:textId="77777777" w:rsidR="008238E6" w:rsidRDefault="00D61AB3">
            <w:pPr>
              <w:spacing w:before="120" w:after="120"/>
              <w:jc w:val="center"/>
            </w:pPr>
            <w:r>
              <w:t>Skupien, 2008</w:t>
            </w:r>
          </w:p>
        </w:tc>
        <w:tc>
          <w:tcPr>
            <w:tcW w:w="5386" w:type="dxa"/>
          </w:tcPr>
          <w:p w14:paraId="4FB5EA95" w14:textId="77777777" w:rsidR="008238E6" w:rsidRDefault="00D61AB3">
            <w:pPr>
              <w:spacing w:before="120" w:after="120"/>
              <w:jc w:val="center"/>
            </w:pPr>
            <w:r>
              <w:t>Sem dados desfecho de interesse</w:t>
            </w:r>
          </w:p>
        </w:tc>
      </w:tr>
      <w:tr w:rsidR="008238E6" w14:paraId="4FB5EA99" w14:textId="77777777">
        <w:trPr>
          <w:trHeight w:val="415"/>
          <w:jc w:val="center"/>
        </w:trPr>
        <w:tc>
          <w:tcPr>
            <w:tcW w:w="3756" w:type="dxa"/>
          </w:tcPr>
          <w:p w14:paraId="4FB5EA97" w14:textId="77777777" w:rsidR="008238E6" w:rsidRDefault="00D61AB3">
            <w:pPr>
              <w:spacing w:before="120" w:after="120"/>
              <w:jc w:val="center"/>
            </w:pPr>
            <w:r>
              <w:t>Surmely, 1988</w:t>
            </w:r>
          </w:p>
        </w:tc>
        <w:tc>
          <w:tcPr>
            <w:tcW w:w="5386" w:type="dxa"/>
          </w:tcPr>
          <w:p w14:paraId="4FB5EA98" w14:textId="77777777" w:rsidR="008238E6" w:rsidRDefault="00D61AB3">
            <w:pPr>
              <w:spacing w:before="120" w:after="120"/>
              <w:jc w:val="center"/>
            </w:pPr>
            <w:r>
              <w:t>Sem dados desfecho de interesse</w:t>
            </w:r>
          </w:p>
        </w:tc>
      </w:tr>
      <w:tr w:rsidR="008238E6" w14:paraId="4FB5EA9C" w14:textId="77777777">
        <w:trPr>
          <w:trHeight w:val="415"/>
          <w:jc w:val="center"/>
        </w:trPr>
        <w:tc>
          <w:tcPr>
            <w:tcW w:w="3756" w:type="dxa"/>
          </w:tcPr>
          <w:p w14:paraId="4FB5EA9A" w14:textId="77777777" w:rsidR="008238E6" w:rsidRDefault="00D61AB3">
            <w:pPr>
              <w:spacing w:before="120" w:after="120"/>
              <w:jc w:val="center"/>
            </w:pPr>
            <w:r>
              <w:t>Szopa, 2015</w:t>
            </w:r>
          </w:p>
        </w:tc>
        <w:tc>
          <w:tcPr>
            <w:tcW w:w="5386" w:type="dxa"/>
          </w:tcPr>
          <w:p w14:paraId="4FB5EA9B" w14:textId="77777777" w:rsidR="008238E6" w:rsidRDefault="00D61AB3">
            <w:pPr>
              <w:spacing w:before="120" w:after="120"/>
              <w:jc w:val="center"/>
            </w:pPr>
            <w:r>
              <w:t>Sem dados desfecho de interesse</w:t>
            </w:r>
          </w:p>
        </w:tc>
      </w:tr>
      <w:tr w:rsidR="008238E6" w14:paraId="4FB5EA9F" w14:textId="77777777">
        <w:trPr>
          <w:trHeight w:val="415"/>
          <w:jc w:val="center"/>
        </w:trPr>
        <w:tc>
          <w:tcPr>
            <w:tcW w:w="3756" w:type="dxa"/>
          </w:tcPr>
          <w:p w14:paraId="4FB5EA9D" w14:textId="77777777" w:rsidR="008238E6" w:rsidRDefault="00D61AB3">
            <w:pPr>
              <w:spacing w:before="120" w:after="120"/>
              <w:jc w:val="center"/>
            </w:pPr>
            <w:r>
              <w:t>Sztromwasser, 2020</w:t>
            </w:r>
          </w:p>
        </w:tc>
        <w:tc>
          <w:tcPr>
            <w:tcW w:w="5386" w:type="dxa"/>
          </w:tcPr>
          <w:p w14:paraId="4FB5EA9E" w14:textId="77777777" w:rsidR="008238E6" w:rsidRDefault="00D61AB3">
            <w:pPr>
              <w:spacing w:before="120" w:after="120"/>
              <w:jc w:val="center"/>
            </w:pPr>
            <w:r>
              <w:t>Sem dados desfecho de interesse</w:t>
            </w:r>
          </w:p>
        </w:tc>
      </w:tr>
      <w:tr w:rsidR="008238E6" w14:paraId="4FB5EAA2" w14:textId="77777777">
        <w:trPr>
          <w:trHeight w:val="415"/>
          <w:jc w:val="center"/>
        </w:trPr>
        <w:tc>
          <w:tcPr>
            <w:tcW w:w="3756" w:type="dxa"/>
          </w:tcPr>
          <w:p w14:paraId="4FB5EAA0" w14:textId="77777777" w:rsidR="008238E6" w:rsidRDefault="00D61AB3">
            <w:pPr>
              <w:spacing w:before="120" w:after="120"/>
              <w:jc w:val="center"/>
            </w:pPr>
            <w:r>
              <w:t>Thanabalasingham, 2011</w:t>
            </w:r>
          </w:p>
        </w:tc>
        <w:tc>
          <w:tcPr>
            <w:tcW w:w="5386" w:type="dxa"/>
          </w:tcPr>
          <w:p w14:paraId="4FB5EAA1" w14:textId="77777777" w:rsidR="008238E6" w:rsidRDefault="00D61AB3">
            <w:pPr>
              <w:spacing w:before="120" w:after="120"/>
              <w:jc w:val="center"/>
            </w:pPr>
            <w:r>
              <w:t>Sem dados desfecho de interesse</w:t>
            </w:r>
          </w:p>
        </w:tc>
      </w:tr>
      <w:tr w:rsidR="008238E6" w14:paraId="4FB5EAA5" w14:textId="77777777">
        <w:trPr>
          <w:trHeight w:val="415"/>
          <w:jc w:val="center"/>
        </w:trPr>
        <w:tc>
          <w:tcPr>
            <w:tcW w:w="3756" w:type="dxa"/>
          </w:tcPr>
          <w:p w14:paraId="4FB5EAA3" w14:textId="77777777" w:rsidR="008238E6" w:rsidRDefault="00D61AB3">
            <w:pPr>
              <w:spacing w:before="120" w:after="120"/>
              <w:jc w:val="center"/>
            </w:pPr>
            <w:r>
              <w:t>Timsit, 2005</w:t>
            </w:r>
          </w:p>
        </w:tc>
        <w:tc>
          <w:tcPr>
            <w:tcW w:w="5386" w:type="dxa"/>
          </w:tcPr>
          <w:p w14:paraId="4FB5EAA4" w14:textId="77777777" w:rsidR="008238E6" w:rsidRDefault="00D61AB3">
            <w:pPr>
              <w:spacing w:before="120" w:after="120"/>
              <w:jc w:val="center"/>
            </w:pPr>
            <w:r>
              <w:t>Sem texto completo</w:t>
            </w:r>
          </w:p>
        </w:tc>
      </w:tr>
      <w:tr w:rsidR="008238E6" w14:paraId="4FB5EAA8" w14:textId="77777777">
        <w:trPr>
          <w:trHeight w:val="415"/>
          <w:jc w:val="center"/>
        </w:trPr>
        <w:tc>
          <w:tcPr>
            <w:tcW w:w="3756" w:type="dxa"/>
          </w:tcPr>
          <w:p w14:paraId="4FB5EAA6" w14:textId="77777777" w:rsidR="008238E6" w:rsidRDefault="00D61AB3">
            <w:pPr>
              <w:spacing w:before="120" w:after="120"/>
              <w:jc w:val="center"/>
            </w:pPr>
            <w:r>
              <w:t>Timsit, 2001</w:t>
            </w:r>
          </w:p>
        </w:tc>
        <w:tc>
          <w:tcPr>
            <w:tcW w:w="5386" w:type="dxa"/>
          </w:tcPr>
          <w:p w14:paraId="4FB5EAA7" w14:textId="77777777" w:rsidR="008238E6" w:rsidRDefault="00D61AB3">
            <w:pPr>
              <w:spacing w:before="120" w:after="120"/>
              <w:jc w:val="center"/>
            </w:pPr>
            <w:r>
              <w:t>Sem texto completo</w:t>
            </w:r>
          </w:p>
        </w:tc>
      </w:tr>
      <w:tr w:rsidR="008238E6" w14:paraId="4FB5EAAB" w14:textId="77777777">
        <w:trPr>
          <w:trHeight w:val="415"/>
          <w:jc w:val="center"/>
        </w:trPr>
        <w:tc>
          <w:tcPr>
            <w:tcW w:w="3756" w:type="dxa"/>
          </w:tcPr>
          <w:p w14:paraId="4FB5EAA9" w14:textId="77777777" w:rsidR="008238E6" w:rsidRDefault="00D61AB3">
            <w:pPr>
              <w:spacing w:before="120" w:after="120"/>
              <w:jc w:val="center"/>
            </w:pPr>
            <w:r>
              <w:t>Tinto, 2008</w:t>
            </w:r>
          </w:p>
        </w:tc>
        <w:tc>
          <w:tcPr>
            <w:tcW w:w="5386" w:type="dxa"/>
          </w:tcPr>
          <w:p w14:paraId="4FB5EAAA" w14:textId="77777777" w:rsidR="008238E6" w:rsidRDefault="00D61AB3">
            <w:pPr>
              <w:spacing w:before="120" w:after="120"/>
              <w:jc w:val="center"/>
            </w:pPr>
            <w:r>
              <w:t>Sem dados desfecho de interesse</w:t>
            </w:r>
          </w:p>
        </w:tc>
      </w:tr>
      <w:tr w:rsidR="008238E6" w14:paraId="4FB5EAAE" w14:textId="77777777">
        <w:trPr>
          <w:trHeight w:val="415"/>
          <w:jc w:val="center"/>
        </w:trPr>
        <w:tc>
          <w:tcPr>
            <w:tcW w:w="3756" w:type="dxa"/>
          </w:tcPr>
          <w:p w14:paraId="4FB5EAAC" w14:textId="77777777" w:rsidR="008238E6" w:rsidRDefault="00D61AB3">
            <w:pPr>
              <w:spacing w:before="120" w:after="120"/>
              <w:jc w:val="center"/>
            </w:pPr>
            <w:r>
              <w:t>Tracz, 2014</w:t>
            </w:r>
          </w:p>
        </w:tc>
        <w:tc>
          <w:tcPr>
            <w:tcW w:w="5386" w:type="dxa"/>
          </w:tcPr>
          <w:p w14:paraId="4FB5EAAD" w14:textId="77777777" w:rsidR="008238E6" w:rsidRDefault="00D61AB3">
            <w:pPr>
              <w:spacing w:before="120" w:after="120"/>
              <w:jc w:val="center"/>
            </w:pPr>
            <w:r>
              <w:t>Sem dados desfecho de interesse</w:t>
            </w:r>
          </w:p>
        </w:tc>
      </w:tr>
      <w:tr w:rsidR="008238E6" w14:paraId="4FB5EAB1" w14:textId="77777777">
        <w:trPr>
          <w:trHeight w:val="415"/>
          <w:jc w:val="center"/>
        </w:trPr>
        <w:tc>
          <w:tcPr>
            <w:tcW w:w="3756" w:type="dxa"/>
          </w:tcPr>
          <w:p w14:paraId="4FB5EAAF" w14:textId="77777777" w:rsidR="008238E6" w:rsidRDefault="00D61AB3">
            <w:pPr>
              <w:spacing w:before="120" w:after="120"/>
              <w:jc w:val="center"/>
            </w:pPr>
            <w:r>
              <w:t>Tsakiris, 2004</w:t>
            </w:r>
          </w:p>
        </w:tc>
        <w:tc>
          <w:tcPr>
            <w:tcW w:w="5386" w:type="dxa"/>
          </w:tcPr>
          <w:p w14:paraId="4FB5EAB0" w14:textId="77777777" w:rsidR="008238E6" w:rsidRDefault="00D61AB3">
            <w:pPr>
              <w:spacing w:before="120" w:after="120"/>
              <w:jc w:val="center"/>
            </w:pPr>
            <w:r>
              <w:t>Sem texto completo</w:t>
            </w:r>
          </w:p>
        </w:tc>
      </w:tr>
      <w:tr w:rsidR="008238E6" w14:paraId="4FB5EAB4" w14:textId="77777777">
        <w:trPr>
          <w:trHeight w:val="415"/>
          <w:jc w:val="center"/>
        </w:trPr>
        <w:tc>
          <w:tcPr>
            <w:tcW w:w="3756" w:type="dxa"/>
          </w:tcPr>
          <w:p w14:paraId="4FB5EAB2" w14:textId="77777777" w:rsidR="008238E6" w:rsidRDefault="00D61AB3">
            <w:pPr>
              <w:spacing w:before="120" w:after="120"/>
              <w:jc w:val="center"/>
            </w:pPr>
            <w:r>
              <w:t>Vaxillaire, 1999</w:t>
            </w:r>
          </w:p>
        </w:tc>
        <w:tc>
          <w:tcPr>
            <w:tcW w:w="5386" w:type="dxa"/>
          </w:tcPr>
          <w:p w14:paraId="4FB5EAB3" w14:textId="77777777" w:rsidR="008238E6" w:rsidRDefault="00D61AB3">
            <w:pPr>
              <w:spacing w:before="120" w:after="120"/>
              <w:jc w:val="center"/>
            </w:pPr>
            <w:r>
              <w:t>Sem dados desfecho de interesse</w:t>
            </w:r>
          </w:p>
        </w:tc>
      </w:tr>
      <w:tr w:rsidR="008238E6" w14:paraId="4FB5EAB7" w14:textId="77777777">
        <w:trPr>
          <w:trHeight w:val="415"/>
          <w:jc w:val="center"/>
        </w:trPr>
        <w:tc>
          <w:tcPr>
            <w:tcW w:w="3756" w:type="dxa"/>
          </w:tcPr>
          <w:p w14:paraId="4FB5EAB5" w14:textId="77777777" w:rsidR="008238E6" w:rsidRDefault="00D61AB3">
            <w:pPr>
              <w:spacing w:before="120" w:after="120"/>
              <w:jc w:val="center"/>
            </w:pPr>
            <w:r>
              <w:t>Velho, 1996</w:t>
            </w:r>
          </w:p>
        </w:tc>
        <w:tc>
          <w:tcPr>
            <w:tcW w:w="5386" w:type="dxa"/>
          </w:tcPr>
          <w:p w14:paraId="4FB5EAB6" w14:textId="77777777" w:rsidR="008238E6" w:rsidRDefault="00D61AB3">
            <w:pPr>
              <w:spacing w:before="120" w:after="120"/>
              <w:jc w:val="center"/>
            </w:pPr>
            <w:r>
              <w:t>Sem dados desfecho de interesse</w:t>
            </w:r>
          </w:p>
        </w:tc>
      </w:tr>
      <w:tr w:rsidR="008238E6" w14:paraId="4FB5EABA" w14:textId="77777777">
        <w:trPr>
          <w:trHeight w:val="415"/>
          <w:jc w:val="center"/>
        </w:trPr>
        <w:tc>
          <w:tcPr>
            <w:tcW w:w="3756" w:type="dxa"/>
          </w:tcPr>
          <w:p w14:paraId="4FB5EAB8" w14:textId="77777777" w:rsidR="008238E6" w:rsidRDefault="00D61AB3">
            <w:pPr>
              <w:spacing w:before="120" w:after="120"/>
              <w:jc w:val="center"/>
            </w:pPr>
            <w:r>
              <w:t>WÄ™drychowicz, 2017</w:t>
            </w:r>
          </w:p>
        </w:tc>
        <w:tc>
          <w:tcPr>
            <w:tcW w:w="5386" w:type="dxa"/>
          </w:tcPr>
          <w:p w14:paraId="4FB5EAB9" w14:textId="77777777" w:rsidR="008238E6" w:rsidRDefault="00D61AB3">
            <w:pPr>
              <w:spacing w:before="120" w:after="120"/>
              <w:jc w:val="center"/>
            </w:pPr>
            <w:r>
              <w:t>Sem dados desfecho de interesse</w:t>
            </w:r>
          </w:p>
        </w:tc>
      </w:tr>
      <w:tr w:rsidR="008238E6" w14:paraId="4FB5EABD" w14:textId="77777777">
        <w:trPr>
          <w:trHeight w:val="415"/>
          <w:jc w:val="center"/>
        </w:trPr>
        <w:tc>
          <w:tcPr>
            <w:tcW w:w="3756" w:type="dxa"/>
          </w:tcPr>
          <w:p w14:paraId="4FB5EABB" w14:textId="77777777" w:rsidR="008238E6" w:rsidRDefault="00D61AB3">
            <w:pPr>
              <w:spacing w:before="120" w:after="120"/>
              <w:jc w:val="center"/>
            </w:pPr>
            <w:r>
              <w:t>Weedon, 2005</w:t>
            </w:r>
          </w:p>
        </w:tc>
        <w:tc>
          <w:tcPr>
            <w:tcW w:w="5386" w:type="dxa"/>
          </w:tcPr>
          <w:p w14:paraId="4FB5EABC" w14:textId="77777777" w:rsidR="008238E6" w:rsidRDefault="00D61AB3">
            <w:pPr>
              <w:spacing w:before="120" w:after="120"/>
              <w:jc w:val="center"/>
            </w:pPr>
            <w:r>
              <w:t>Sem dados desfecho de interesse</w:t>
            </w:r>
          </w:p>
        </w:tc>
      </w:tr>
      <w:tr w:rsidR="008238E6" w14:paraId="4FB5EAC0" w14:textId="77777777">
        <w:trPr>
          <w:trHeight w:val="415"/>
          <w:jc w:val="center"/>
        </w:trPr>
        <w:tc>
          <w:tcPr>
            <w:tcW w:w="3756" w:type="dxa"/>
          </w:tcPr>
          <w:p w14:paraId="4FB5EABE" w14:textId="77777777" w:rsidR="008238E6" w:rsidRDefault="00D61AB3">
            <w:pPr>
              <w:spacing w:before="120" w:after="120"/>
              <w:jc w:val="center"/>
            </w:pPr>
            <w:r>
              <w:t>Zhao, 2022</w:t>
            </w:r>
          </w:p>
        </w:tc>
        <w:tc>
          <w:tcPr>
            <w:tcW w:w="5386" w:type="dxa"/>
          </w:tcPr>
          <w:p w14:paraId="4FB5EABF" w14:textId="77777777" w:rsidR="008238E6" w:rsidRDefault="00D61AB3">
            <w:pPr>
              <w:spacing w:before="120" w:after="120"/>
              <w:jc w:val="center"/>
            </w:pPr>
            <w:r>
              <w:t>Sem dados desfecho de interesse</w:t>
            </w:r>
          </w:p>
        </w:tc>
      </w:tr>
      <w:tr w:rsidR="008238E6" w14:paraId="4FB5EAC3" w14:textId="77777777">
        <w:trPr>
          <w:trHeight w:val="415"/>
          <w:jc w:val="center"/>
        </w:trPr>
        <w:tc>
          <w:tcPr>
            <w:tcW w:w="3756" w:type="dxa"/>
          </w:tcPr>
          <w:p w14:paraId="4FB5EAC1" w14:textId="77777777" w:rsidR="008238E6" w:rsidRDefault="00D61AB3">
            <w:pPr>
              <w:spacing w:before="120" w:after="120"/>
              <w:jc w:val="center"/>
            </w:pPr>
            <w:r>
              <w:t>Zhou, 2020</w:t>
            </w:r>
          </w:p>
        </w:tc>
        <w:tc>
          <w:tcPr>
            <w:tcW w:w="5386" w:type="dxa"/>
          </w:tcPr>
          <w:p w14:paraId="4FB5EAC2" w14:textId="77777777" w:rsidR="008238E6" w:rsidRDefault="00D61AB3">
            <w:pPr>
              <w:spacing w:before="120" w:after="120"/>
              <w:jc w:val="center"/>
            </w:pPr>
            <w:r>
              <w:t>Sem dados desfecho de interesse</w:t>
            </w:r>
          </w:p>
        </w:tc>
      </w:tr>
      <w:tr w:rsidR="008238E6" w14:paraId="4FB5EAC5" w14:textId="77777777">
        <w:trPr>
          <w:trHeight w:val="478"/>
          <w:jc w:val="center"/>
        </w:trPr>
        <w:tc>
          <w:tcPr>
            <w:tcW w:w="9142" w:type="dxa"/>
            <w:gridSpan w:val="2"/>
            <w:shd w:val="clear" w:color="auto" w:fill="D9E2F3"/>
          </w:tcPr>
          <w:p w14:paraId="4FB5EAC4" w14:textId="77777777" w:rsidR="008238E6" w:rsidRDefault="00D61AB3">
            <w:pPr>
              <w:spacing w:before="120" w:after="120"/>
              <w:jc w:val="center"/>
              <w:rPr>
                <w:b/>
              </w:rPr>
            </w:pPr>
            <w:r>
              <w:rPr>
                <w:b/>
              </w:rPr>
              <w:t>PARECERISTA</w:t>
            </w:r>
          </w:p>
        </w:tc>
      </w:tr>
      <w:tr w:rsidR="008238E6" w14:paraId="4FB5EAC8" w14:textId="77777777">
        <w:trPr>
          <w:trHeight w:val="414"/>
          <w:jc w:val="center"/>
        </w:trPr>
        <w:tc>
          <w:tcPr>
            <w:tcW w:w="3756" w:type="dxa"/>
          </w:tcPr>
          <w:p w14:paraId="4FB5EAC6" w14:textId="77777777" w:rsidR="008238E6" w:rsidRDefault="00D61AB3">
            <w:pPr>
              <w:spacing w:before="120" w:after="120"/>
              <w:jc w:val="center"/>
              <w:rPr>
                <w:b/>
                <w:highlight w:val="lightGray"/>
              </w:rPr>
            </w:pPr>
            <w:r>
              <w:rPr>
                <w:b/>
              </w:rPr>
              <w:t>Estudo</w:t>
            </w:r>
          </w:p>
        </w:tc>
        <w:tc>
          <w:tcPr>
            <w:tcW w:w="5386" w:type="dxa"/>
          </w:tcPr>
          <w:p w14:paraId="4FB5EAC7" w14:textId="77777777" w:rsidR="008238E6" w:rsidRDefault="00D61AB3">
            <w:pPr>
              <w:spacing w:before="120" w:after="120"/>
              <w:jc w:val="center"/>
              <w:rPr>
                <w:b/>
              </w:rPr>
            </w:pPr>
            <w:r>
              <w:rPr>
                <w:b/>
              </w:rPr>
              <w:t>Razão para exclusão</w:t>
            </w:r>
          </w:p>
        </w:tc>
      </w:tr>
      <w:tr w:rsidR="008238E6" w14:paraId="4FB5EACB" w14:textId="77777777">
        <w:trPr>
          <w:trHeight w:val="408"/>
          <w:jc w:val="center"/>
        </w:trPr>
        <w:tc>
          <w:tcPr>
            <w:tcW w:w="3756" w:type="dxa"/>
          </w:tcPr>
          <w:p w14:paraId="4FB5EAC9" w14:textId="77777777" w:rsidR="008238E6" w:rsidRDefault="00D61AB3">
            <w:pPr>
              <w:spacing w:before="120" w:after="120"/>
              <w:jc w:val="center"/>
            </w:pPr>
            <w:r>
              <w:t>NCT02487888</w:t>
            </w:r>
          </w:p>
        </w:tc>
        <w:tc>
          <w:tcPr>
            <w:tcW w:w="5386" w:type="dxa"/>
          </w:tcPr>
          <w:p w14:paraId="4FB5EACA" w14:textId="77777777" w:rsidR="008238E6" w:rsidRDefault="00D61AB3">
            <w:pPr>
              <w:spacing w:before="120" w:after="120"/>
              <w:jc w:val="center"/>
            </w:pPr>
            <w:r>
              <w:t>Nenhum resultado publicado</w:t>
            </w:r>
          </w:p>
        </w:tc>
      </w:tr>
      <w:tr w:rsidR="008238E6" w14:paraId="4FB5EACE" w14:textId="77777777">
        <w:trPr>
          <w:trHeight w:val="413"/>
          <w:jc w:val="center"/>
        </w:trPr>
        <w:tc>
          <w:tcPr>
            <w:tcW w:w="3756" w:type="dxa"/>
          </w:tcPr>
          <w:p w14:paraId="4FB5EACC" w14:textId="77777777" w:rsidR="008238E6" w:rsidRDefault="00D61AB3">
            <w:pPr>
              <w:spacing w:before="120" w:after="120"/>
              <w:jc w:val="center"/>
            </w:pPr>
            <w:r>
              <w:t xml:space="preserve"> Grant et al., 2013</w:t>
            </w:r>
          </w:p>
        </w:tc>
        <w:tc>
          <w:tcPr>
            <w:tcW w:w="5386" w:type="dxa"/>
          </w:tcPr>
          <w:p w14:paraId="4FB5EACD" w14:textId="77777777" w:rsidR="008238E6" w:rsidRDefault="00D61AB3">
            <w:pPr>
              <w:spacing w:before="120" w:after="120"/>
              <w:jc w:val="center"/>
            </w:pPr>
            <w:r>
              <w:t>População: pacientes com sobrepeso com risco fenotípico aumentado para diabetes tipo 2</w:t>
            </w:r>
          </w:p>
        </w:tc>
      </w:tr>
      <w:tr w:rsidR="008238E6" w14:paraId="4FB5EAD1" w14:textId="77777777">
        <w:trPr>
          <w:trHeight w:val="413"/>
          <w:jc w:val="center"/>
        </w:trPr>
        <w:tc>
          <w:tcPr>
            <w:tcW w:w="3756" w:type="dxa"/>
          </w:tcPr>
          <w:p w14:paraId="4FB5EACF" w14:textId="77777777" w:rsidR="008238E6" w:rsidRDefault="00D61AB3">
            <w:pPr>
              <w:spacing w:before="120" w:after="120"/>
              <w:jc w:val="center"/>
            </w:pPr>
            <w:r>
              <w:t>Butnariu et al., 2024</w:t>
            </w:r>
          </w:p>
        </w:tc>
        <w:tc>
          <w:tcPr>
            <w:tcW w:w="5386" w:type="dxa"/>
          </w:tcPr>
          <w:p w14:paraId="4FB5EAD0" w14:textId="77777777" w:rsidR="008238E6" w:rsidRDefault="00D61AB3">
            <w:pPr>
              <w:spacing w:before="120" w:after="120"/>
              <w:jc w:val="center"/>
            </w:pPr>
            <w:r>
              <w:t>Desfechos avaliados não correspondem a PICO.</w:t>
            </w:r>
          </w:p>
        </w:tc>
      </w:tr>
      <w:tr w:rsidR="008238E6" w14:paraId="4FB5EAD4" w14:textId="77777777">
        <w:trPr>
          <w:trHeight w:val="413"/>
          <w:jc w:val="center"/>
        </w:trPr>
        <w:tc>
          <w:tcPr>
            <w:tcW w:w="3756" w:type="dxa"/>
          </w:tcPr>
          <w:p w14:paraId="4FB5EAD2" w14:textId="77777777" w:rsidR="008238E6" w:rsidRDefault="00D61AB3">
            <w:pPr>
              <w:spacing w:before="120" w:after="120"/>
              <w:jc w:val="center"/>
            </w:pPr>
            <w:r>
              <w:t>Bosma et al., 2015</w:t>
            </w:r>
          </w:p>
        </w:tc>
        <w:tc>
          <w:tcPr>
            <w:tcW w:w="5386" w:type="dxa"/>
          </w:tcPr>
          <w:p w14:paraId="4FB5EAD3" w14:textId="77777777" w:rsidR="008238E6" w:rsidRDefault="00D61AB3">
            <w:pPr>
              <w:spacing w:before="120" w:after="120"/>
              <w:jc w:val="center"/>
            </w:pPr>
            <w:r>
              <w:t>Desfechos avaliados não correspondem a PICO.</w:t>
            </w:r>
          </w:p>
        </w:tc>
      </w:tr>
      <w:tr w:rsidR="008238E6" w14:paraId="4FB5EAD7" w14:textId="77777777">
        <w:trPr>
          <w:trHeight w:val="413"/>
          <w:jc w:val="center"/>
        </w:trPr>
        <w:tc>
          <w:tcPr>
            <w:tcW w:w="3756" w:type="dxa"/>
          </w:tcPr>
          <w:p w14:paraId="4FB5EAD5" w14:textId="77777777" w:rsidR="008238E6" w:rsidRDefault="00D61AB3">
            <w:pPr>
              <w:spacing w:before="120" w:after="120"/>
              <w:jc w:val="center"/>
            </w:pPr>
            <w:r>
              <w:t>Anlk et al., 2015</w:t>
            </w:r>
          </w:p>
        </w:tc>
        <w:tc>
          <w:tcPr>
            <w:tcW w:w="5386" w:type="dxa"/>
          </w:tcPr>
          <w:p w14:paraId="4FB5EAD6" w14:textId="77777777" w:rsidR="008238E6" w:rsidRDefault="00D61AB3">
            <w:pPr>
              <w:spacing w:before="120" w:after="120"/>
              <w:jc w:val="center"/>
            </w:pPr>
            <w:r>
              <w:t>Desfechos avaliados não correspondem a PICO.</w:t>
            </w:r>
          </w:p>
        </w:tc>
      </w:tr>
      <w:tr w:rsidR="008238E6" w14:paraId="4FB5EADA" w14:textId="77777777">
        <w:trPr>
          <w:trHeight w:val="413"/>
          <w:jc w:val="center"/>
        </w:trPr>
        <w:tc>
          <w:tcPr>
            <w:tcW w:w="3756" w:type="dxa"/>
          </w:tcPr>
          <w:p w14:paraId="4FB5EAD8" w14:textId="77777777" w:rsidR="008238E6" w:rsidRDefault="00D61AB3">
            <w:pPr>
              <w:spacing w:before="120" w:after="120"/>
              <w:jc w:val="center"/>
            </w:pPr>
            <w:r>
              <w:t>Thuesen et al., 2023</w:t>
            </w:r>
          </w:p>
        </w:tc>
        <w:tc>
          <w:tcPr>
            <w:tcW w:w="5386" w:type="dxa"/>
          </w:tcPr>
          <w:p w14:paraId="4FB5EAD9" w14:textId="77777777" w:rsidR="008238E6" w:rsidRDefault="00D61AB3">
            <w:pPr>
              <w:spacing w:before="120" w:after="120"/>
              <w:jc w:val="center"/>
            </w:pPr>
            <w:r>
              <w:t xml:space="preserve">População: pacientes com diabetes </w:t>
            </w:r>
            <w:r>
              <w:rPr>
                <w:i/>
              </w:rPr>
              <w:t>mellitus</w:t>
            </w:r>
            <w:r>
              <w:t xml:space="preserve"> tipo 2</w:t>
            </w:r>
          </w:p>
        </w:tc>
      </w:tr>
      <w:tr w:rsidR="008238E6" w14:paraId="4FB5EADD" w14:textId="77777777">
        <w:trPr>
          <w:trHeight w:val="413"/>
          <w:jc w:val="center"/>
        </w:trPr>
        <w:tc>
          <w:tcPr>
            <w:tcW w:w="3756" w:type="dxa"/>
          </w:tcPr>
          <w:p w14:paraId="4FB5EADB" w14:textId="77777777" w:rsidR="008238E6" w:rsidRDefault="00D61AB3">
            <w:pPr>
              <w:spacing w:before="120" w:after="120"/>
              <w:jc w:val="center"/>
            </w:pPr>
            <w:r>
              <w:t>Wang et al., 2018</w:t>
            </w:r>
          </w:p>
        </w:tc>
        <w:tc>
          <w:tcPr>
            <w:tcW w:w="5386" w:type="dxa"/>
          </w:tcPr>
          <w:p w14:paraId="4FB5EADC" w14:textId="77777777" w:rsidR="008238E6" w:rsidRDefault="00D61AB3">
            <w:pPr>
              <w:spacing w:before="120" w:after="120"/>
              <w:jc w:val="center"/>
            </w:pPr>
            <w:r>
              <w:t>Desfechos avaliados não correspondem a PICO</w:t>
            </w:r>
          </w:p>
        </w:tc>
      </w:tr>
      <w:tr w:rsidR="008238E6" w14:paraId="4FB5EAE0" w14:textId="77777777">
        <w:trPr>
          <w:trHeight w:val="413"/>
          <w:jc w:val="center"/>
        </w:trPr>
        <w:tc>
          <w:tcPr>
            <w:tcW w:w="3756" w:type="dxa"/>
          </w:tcPr>
          <w:p w14:paraId="4FB5EADE" w14:textId="77777777" w:rsidR="008238E6" w:rsidRDefault="00D61AB3">
            <w:pPr>
              <w:spacing w:before="120" w:after="120"/>
              <w:jc w:val="center"/>
            </w:pPr>
            <w:r>
              <w:t>Shepherd et al., 2013</w:t>
            </w:r>
          </w:p>
        </w:tc>
        <w:tc>
          <w:tcPr>
            <w:tcW w:w="5386" w:type="dxa"/>
          </w:tcPr>
          <w:p w14:paraId="4FB5EADF" w14:textId="77777777" w:rsidR="008238E6" w:rsidRDefault="00D61AB3">
            <w:pPr>
              <w:spacing w:before="120" w:after="120"/>
              <w:jc w:val="center"/>
            </w:pPr>
            <w:r>
              <w:t>Resumo de congresso</w:t>
            </w:r>
          </w:p>
        </w:tc>
      </w:tr>
      <w:tr w:rsidR="008238E6" w14:paraId="4FB5EAE3" w14:textId="77777777">
        <w:trPr>
          <w:trHeight w:val="413"/>
          <w:jc w:val="center"/>
        </w:trPr>
        <w:tc>
          <w:tcPr>
            <w:tcW w:w="3756" w:type="dxa"/>
          </w:tcPr>
          <w:p w14:paraId="4FB5EAE1" w14:textId="77777777" w:rsidR="008238E6" w:rsidRDefault="00D61AB3">
            <w:pPr>
              <w:spacing w:before="120" w:after="120"/>
              <w:jc w:val="center"/>
            </w:pPr>
            <w:r>
              <w:t xml:space="preserve"> Klee et al., 2016</w:t>
            </w:r>
          </w:p>
        </w:tc>
        <w:tc>
          <w:tcPr>
            <w:tcW w:w="5386" w:type="dxa"/>
          </w:tcPr>
          <w:p w14:paraId="4FB5EAE2" w14:textId="77777777" w:rsidR="008238E6" w:rsidRDefault="00D61AB3">
            <w:pPr>
              <w:spacing w:before="120" w:after="120"/>
              <w:jc w:val="center"/>
            </w:pPr>
            <w:r>
              <w:t>Resumo de congresso</w:t>
            </w:r>
          </w:p>
        </w:tc>
      </w:tr>
      <w:tr w:rsidR="008238E6" w14:paraId="4FB5EAE6" w14:textId="77777777">
        <w:trPr>
          <w:trHeight w:val="413"/>
          <w:jc w:val="center"/>
        </w:trPr>
        <w:tc>
          <w:tcPr>
            <w:tcW w:w="3756" w:type="dxa"/>
          </w:tcPr>
          <w:p w14:paraId="4FB5EAE4" w14:textId="77777777" w:rsidR="008238E6" w:rsidRDefault="00D61AB3">
            <w:pPr>
              <w:spacing w:before="120" w:after="120"/>
              <w:jc w:val="center"/>
            </w:pPr>
            <w:r>
              <w:t>Shepherd et al., 2017</w:t>
            </w:r>
          </w:p>
        </w:tc>
        <w:tc>
          <w:tcPr>
            <w:tcW w:w="5386" w:type="dxa"/>
          </w:tcPr>
          <w:p w14:paraId="4FB5EAE5" w14:textId="77777777" w:rsidR="008238E6" w:rsidRDefault="00D61AB3">
            <w:pPr>
              <w:spacing w:before="120" w:after="120"/>
              <w:jc w:val="center"/>
            </w:pPr>
            <w:r>
              <w:t>Resumo de congresso</w:t>
            </w:r>
          </w:p>
        </w:tc>
      </w:tr>
      <w:tr w:rsidR="008238E6" w14:paraId="4FB5EAE9" w14:textId="77777777">
        <w:trPr>
          <w:trHeight w:val="413"/>
          <w:jc w:val="center"/>
        </w:trPr>
        <w:tc>
          <w:tcPr>
            <w:tcW w:w="3756" w:type="dxa"/>
          </w:tcPr>
          <w:p w14:paraId="4FB5EAE7" w14:textId="77777777" w:rsidR="008238E6" w:rsidRDefault="00D61AB3">
            <w:pPr>
              <w:spacing w:before="120" w:after="120"/>
              <w:jc w:val="center"/>
            </w:pPr>
            <w:r>
              <w:t>Boyd et all., 2017</w:t>
            </w:r>
          </w:p>
        </w:tc>
        <w:tc>
          <w:tcPr>
            <w:tcW w:w="5386" w:type="dxa"/>
          </w:tcPr>
          <w:p w14:paraId="4FB5EAE8" w14:textId="77777777" w:rsidR="008238E6" w:rsidRDefault="00D61AB3">
            <w:pPr>
              <w:spacing w:before="120" w:after="120"/>
              <w:jc w:val="center"/>
            </w:pPr>
            <w:r>
              <w:t>Resumo de congresso</w:t>
            </w:r>
          </w:p>
        </w:tc>
      </w:tr>
    </w:tbl>
    <w:p w14:paraId="4FB5EAEA" w14:textId="77777777" w:rsidR="008238E6" w:rsidRDefault="008238E6">
      <w:pPr>
        <w:rPr>
          <w:smallCaps/>
          <w:highlight w:val="cyan"/>
        </w:rPr>
      </w:pPr>
    </w:p>
    <w:tbl>
      <w:tblPr>
        <w:tblStyle w:val="afffffb"/>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AEC" w14:textId="77777777">
        <w:trPr>
          <w:trHeight w:val="416"/>
        </w:trPr>
        <w:tc>
          <w:tcPr>
            <w:tcW w:w="9072" w:type="dxa"/>
            <w:shd w:val="clear" w:color="auto" w:fill="D9E2F3"/>
            <w:vAlign w:val="center"/>
          </w:tcPr>
          <w:p w14:paraId="4FB5EAEB" w14:textId="77777777" w:rsidR="008238E6" w:rsidRDefault="00D61AB3">
            <w:pPr>
              <w:spacing w:before="120" w:after="120"/>
              <w:jc w:val="center"/>
              <w:rPr>
                <w:b/>
              </w:rPr>
            </w:pPr>
            <w:r>
              <w:rPr>
                <w:b/>
              </w:rPr>
              <w:t>Comentários gerais sobre a lista de estudos excluídos e razões para exclusão</w:t>
            </w:r>
          </w:p>
        </w:tc>
      </w:tr>
      <w:tr w:rsidR="008238E6" w14:paraId="4FB5EAEE" w14:textId="77777777">
        <w:trPr>
          <w:trHeight w:val="750"/>
        </w:trPr>
        <w:tc>
          <w:tcPr>
            <w:tcW w:w="9072" w:type="dxa"/>
            <w:vAlign w:val="center"/>
          </w:tcPr>
          <w:p w14:paraId="4FB5EAED" w14:textId="77777777" w:rsidR="008238E6" w:rsidRDefault="00D61AB3">
            <w:pPr>
              <w:spacing w:before="120" w:after="120"/>
            </w:pPr>
            <w:r>
              <w:t>Os motivos para a exclusão dos estudos pelo PROPONENTE estavam relacionados a desfechos que não correspondiam ao estabelecido na PICO, à presença de textos incompletos e à inclusão de populações não pertinentes à PICO. Os PARECERISTAS, por sua vez, excluíram referências na forma de resumos de congressos, desfechos não relacionados à PICO, ensaios clínicos sem resultados publicados e populações que não se alinhavam aos critérios da PICO.</w:t>
            </w:r>
          </w:p>
        </w:tc>
      </w:tr>
    </w:tbl>
    <w:p w14:paraId="4FB5EAEF" w14:textId="77777777" w:rsidR="008238E6" w:rsidRDefault="008238E6"/>
    <w:p w14:paraId="4FB5EAF0" w14:textId="77777777" w:rsidR="008238E6" w:rsidRDefault="00D61AB3">
      <w:pPr>
        <w:pStyle w:val="Heading4"/>
      </w:pPr>
      <w:bookmarkStart w:id="34" w:name="_heading=h.h99ipx5xaucs" w:colFirst="0" w:colLast="0"/>
      <w:bookmarkEnd w:id="34"/>
      <w:r>
        <w:rPr>
          <w:b/>
        </w:rPr>
        <w:t>Quadro 10.</w:t>
      </w:r>
      <w:r>
        <w:t xml:space="preserve"> Estudos em andamento (versão do PROPONENTE e do PARECERISTA).</w:t>
      </w:r>
    </w:p>
    <w:tbl>
      <w:tblPr>
        <w:tblStyle w:val="afffffc"/>
        <w:tblW w:w="91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6"/>
        <w:gridCol w:w="142"/>
        <w:gridCol w:w="5244"/>
      </w:tblGrid>
      <w:tr w:rsidR="008238E6" w14:paraId="4FB5EAF2" w14:textId="77777777">
        <w:trPr>
          <w:trHeight w:val="562"/>
          <w:jc w:val="center"/>
        </w:trPr>
        <w:tc>
          <w:tcPr>
            <w:tcW w:w="9142" w:type="dxa"/>
            <w:gridSpan w:val="3"/>
            <w:shd w:val="clear" w:color="auto" w:fill="D9E2F3"/>
          </w:tcPr>
          <w:p w14:paraId="4FB5EAF1" w14:textId="77777777" w:rsidR="008238E6" w:rsidRDefault="00D61AB3">
            <w:pPr>
              <w:spacing w:before="120" w:after="120"/>
              <w:jc w:val="center"/>
              <w:rPr>
                <w:b/>
              </w:rPr>
            </w:pPr>
            <w:r>
              <w:rPr>
                <w:b/>
              </w:rPr>
              <w:t>PROPONENTE</w:t>
            </w:r>
          </w:p>
        </w:tc>
      </w:tr>
      <w:tr w:rsidR="008238E6" w14:paraId="4FB5EAF5" w14:textId="77777777">
        <w:trPr>
          <w:trHeight w:val="415"/>
          <w:jc w:val="center"/>
        </w:trPr>
        <w:tc>
          <w:tcPr>
            <w:tcW w:w="3898" w:type="dxa"/>
            <w:gridSpan w:val="2"/>
          </w:tcPr>
          <w:p w14:paraId="4FB5EAF3" w14:textId="77777777" w:rsidR="008238E6" w:rsidRDefault="00D61AB3">
            <w:pPr>
              <w:spacing w:before="120" w:after="120"/>
              <w:jc w:val="center"/>
              <w:rPr>
                <w:b/>
              </w:rPr>
            </w:pPr>
            <w:r>
              <w:rPr>
                <w:b/>
              </w:rPr>
              <w:t>Estudo</w:t>
            </w:r>
          </w:p>
        </w:tc>
        <w:tc>
          <w:tcPr>
            <w:tcW w:w="5244" w:type="dxa"/>
          </w:tcPr>
          <w:p w14:paraId="4FB5EAF4" w14:textId="77777777" w:rsidR="008238E6" w:rsidRDefault="00D61AB3">
            <w:pPr>
              <w:spacing w:before="120" w:after="120"/>
              <w:jc w:val="center"/>
              <w:rPr>
                <w:b/>
              </w:rPr>
            </w:pPr>
            <w:r>
              <w:rPr>
                <w:b/>
              </w:rPr>
              <w:t>PICO</w:t>
            </w:r>
          </w:p>
        </w:tc>
      </w:tr>
      <w:tr w:rsidR="008238E6" w14:paraId="4FB5EAF7" w14:textId="77777777">
        <w:trPr>
          <w:trHeight w:val="421"/>
          <w:jc w:val="center"/>
        </w:trPr>
        <w:tc>
          <w:tcPr>
            <w:tcW w:w="9142" w:type="dxa"/>
            <w:gridSpan w:val="3"/>
          </w:tcPr>
          <w:p w14:paraId="4FB5EAF6" w14:textId="77777777" w:rsidR="008238E6" w:rsidRDefault="00D61AB3">
            <w:pPr>
              <w:spacing w:before="120" w:after="120"/>
            </w:pPr>
            <w:r>
              <w:t>Até o presente momento, nenhum ensaio clínico está em andamento sobre diabetes tipo MODY e o tratamento dos pacientes que apresentam diagnóstico precoce da patologia.</w:t>
            </w:r>
          </w:p>
        </w:tc>
      </w:tr>
      <w:tr w:rsidR="008238E6" w14:paraId="4FB5EAF9" w14:textId="77777777">
        <w:trPr>
          <w:trHeight w:val="478"/>
          <w:jc w:val="center"/>
        </w:trPr>
        <w:tc>
          <w:tcPr>
            <w:tcW w:w="9142" w:type="dxa"/>
            <w:gridSpan w:val="3"/>
            <w:shd w:val="clear" w:color="auto" w:fill="D9E2F3"/>
          </w:tcPr>
          <w:p w14:paraId="4FB5EAF8" w14:textId="77777777" w:rsidR="008238E6" w:rsidRDefault="00D61AB3">
            <w:pPr>
              <w:spacing w:before="120" w:after="120"/>
              <w:jc w:val="center"/>
              <w:rPr>
                <w:b/>
              </w:rPr>
            </w:pPr>
            <w:r>
              <w:rPr>
                <w:b/>
              </w:rPr>
              <w:t>PARECERISTA</w:t>
            </w:r>
          </w:p>
        </w:tc>
      </w:tr>
      <w:tr w:rsidR="008238E6" w14:paraId="4FB5EAFC" w14:textId="77777777">
        <w:trPr>
          <w:trHeight w:val="414"/>
          <w:jc w:val="center"/>
        </w:trPr>
        <w:tc>
          <w:tcPr>
            <w:tcW w:w="3756" w:type="dxa"/>
          </w:tcPr>
          <w:p w14:paraId="4FB5EAFA" w14:textId="77777777" w:rsidR="008238E6" w:rsidRDefault="00D61AB3">
            <w:pPr>
              <w:spacing w:before="120" w:after="120"/>
              <w:jc w:val="center"/>
              <w:rPr>
                <w:b/>
              </w:rPr>
            </w:pPr>
            <w:r>
              <w:rPr>
                <w:b/>
              </w:rPr>
              <w:t>Estudo</w:t>
            </w:r>
          </w:p>
        </w:tc>
        <w:tc>
          <w:tcPr>
            <w:tcW w:w="5386" w:type="dxa"/>
            <w:gridSpan w:val="2"/>
          </w:tcPr>
          <w:p w14:paraId="4FB5EAFB" w14:textId="77777777" w:rsidR="008238E6" w:rsidRDefault="00D61AB3">
            <w:pPr>
              <w:spacing w:before="120" w:after="120"/>
              <w:jc w:val="center"/>
              <w:rPr>
                <w:b/>
              </w:rPr>
            </w:pPr>
            <w:r>
              <w:rPr>
                <w:b/>
              </w:rPr>
              <w:t>PICO</w:t>
            </w:r>
          </w:p>
        </w:tc>
      </w:tr>
      <w:tr w:rsidR="008238E6" w14:paraId="4FB5EB01" w14:textId="77777777">
        <w:trPr>
          <w:trHeight w:val="408"/>
          <w:jc w:val="center"/>
        </w:trPr>
        <w:tc>
          <w:tcPr>
            <w:tcW w:w="3756" w:type="dxa"/>
          </w:tcPr>
          <w:p w14:paraId="4FB5EAFD" w14:textId="77777777" w:rsidR="008238E6" w:rsidRDefault="00D61AB3">
            <w:pPr>
              <w:spacing w:before="120" w:after="120"/>
            </w:pPr>
            <w:r>
              <w:t>Usefulness of Continuous Glucose Monitoring in MODY Diagnosis (UCMODY) NCT05918484</w:t>
            </w:r>
          </w:p>
        </w:tc>
        <w:tc>
          <w:tcPr>
            <w:tcW w:w="5386" w:type="dxa"/>
            <w:gridSpan w:val="2"/>
          </w:tcPr>
          <w:p w14:paraId="4FB5EAFE" w14:textId="77777777" w:rsidR="008238E6" w:rsidRDefault="00D61AB3">
            <w:pPr>
              <w:spacing w:before="120" w:after="120"/>
              <w:jc w:val="center"/>
            </w:pPr>
            <w:r>
              <w:t>Excluído.</w:t>
            </w:r>
          </w:p>
          <w:p w14:paraId="4FB5EAFF" w14:textId="77777777" w:rsidR="008238E6" w:rsidRDefault="00D61AB3">
            <w:pPr>
              <w:spacing w:before="120" w:after="120"/>
              <w:jc w:val="center"/>
            </w:pPr>
            <w:r>
              <w:t>O desfecho analisado não atende aos critérios estabelecidos na PICO.</w:t>
            </w:r>
          </w:p>
          <w:p w14:paraId="4FB5EB00" w14:textId="77777777" w:rsidR="008238E6" w:rsidRDefault="00D61AB3">
            <w:pPr>
              <w:spacing w:before="120" w:after="120"/>
              <w:jc w:val="center"/>
            </w:pPr>
            <w:r>
              <w:t>Nenhum resultado publicado</w:t>
            </w:r>
          </w:p>
        </w:tc>
      </w:tr>
      <w:tr w:rsidR="008238E6" w14:paraId="4FB5EB07" w14:textId="77777777">
        <w:trPr>
          <w:trHeight w:val="413"/>
          <w:jc w:val="center"/>
        </w:trPr>
        <w:tc>
          <w:tcPr>
            <w:tcW w:w="3756" w:type="dxa"/>
          </w:tcPr>
          <w:p w14:paraId="4FB5EB02" w14:textId="77777777" w:rsidR="008238E6" w:rsidRDefault="00D61AB3">
            <w:pPr>
              <w:spacing w:before="120" w:after="120"/>
            </w:pPr>
            <w:r>
              <w:t>Identifying Maturity-onset Diabetes of the Young in Emirati Patients</w:t>
            </w:r>
          </w:p>
          <w:p w14:paraId="4FB5EB03" w14:textId="77777777" w:rsidR="008238E6" w:rsidRDefault="00D61AB3">
            <w:pPr>
              <w:spacing w:before="120" w:after="120"/>
            </w:pPr>
            <w:r>
              <w:t>NCT05586594</w:t>
            </w:r>
          </w:p>
        </w:tc>
        <w:tc>
          <w:tcPr>
            <w:tcW w:w="5386" w:type="dxa"/>
            <w:gridSpan w:val="2"/>
          </w:tcPr>
          <w:p w14:paraId="4FB5EB04" w14:textId="77777777" w:rsidR="008238E6" w:rsidRDefault="00D61AB3">
            <w:pPr>
              <w:spacing w:before="120" w:after="120"/>
              <w:jc w:val="center"/>
            </w:pPr>
            <w:r>
              <w:t>Excluído.</w:t>
            </w:r>
          </w:p>
          <w:p w14:paraId="4FB5EB05" w14:textId="77777777" w:rsidR="008238E6" w:rsidRDefault="00D61AB3">
            <w:pPr>
              <w:spacing w:before="120" w:after="120"/>
              <w:jc w:val="center"/>
            </w:pPr>
            <w:r>
              <w:t>O desfecho analisado não atende aos critérios estabelecidos na PICO.</w:t>
            </w:r>
          </w:p>
          <w:p w14:paraId="4FB5EB06" w14:textId="77777777" w:rsidR="008238E6" w:rsidRDefault="00D61AB3">
            <w:pPr>
              <w:spacing w:before="120" w:after="120"/>
              <w:jc w:val="center"/>
              <w:rPr>
                <w:b/>
              </w:rPr>
            </w:pPr>
            <w:r>
              <w:t>Nenhum resultado publicado</w:t>
            </w:r>
          </w:p>
        </w:tc>
      </w:tr>
      <w:tr w:rsidR="008238E6" w14:paraId="4FB5EB0D" w14:textId="77777777">
        <w:trPr>
          <w:trHeight w:val="413"/>
          <w:jc w:val="center"/>
        </w:trPr>
        <w:tc>
          <w:tcPr>
            <w:tcW w:w="3756" w:type="dxa"/>
          </w:tcPr>
          <w:p w14:paraId="4FB5EB08" w14:textId="77777777" w:rsidR="008238E6" w:rsidRDefault="00D61AB3">
            <w:pPr>
              <w:spacing w:before="120" w:after="120"/>
            </w:pPr>
            <w:r>
              <w:t>Screening for Genetic Forms of Diabetes in Convention of Care for Children and Adolescents With Diabetes (GENEPEDIAB) (GENEPEDIAB)</w:t>
            </w:r>
          </w:p>
          <w:p w14:paraId="4FB5EB09" w14:textId="77777777" w:rsidR="008238E6" w:rsidRDefault="00D61AB3">
            <w:pPr>
              <w:spacing w:before="120" w:after="120"/>
            </w:pPr>
            <w:r>
              <w:t>NCT04021199</w:t>
            </w:r>
          </w:p>
        </w:tc>
        <w:tc>
          <w:tcPr>
            <w:tcW w:w="5386" w:type="dxa"/>
            <w:gridSpan w:val="2"/>
          </w:tcPr>
          <w:p w14:paraId="4FB5EB0A" w14:textId="77777777" w:rsidR="008238E6" w:rsidRDefault="00D61AB3">
            <w:pPr>
              <w:spacing w:before="120" w:after="120"/>
              <w:jc w:val="center"/>
            </w:pPr>
            <w:r>
              <w:t>Excluído.</w:t>
            </w:r>
          </w:p>
          <w:p w14:paraId="4FB5EB0B" w14:textId="77777777" w:rsidR="008238E6" w:rsidRDefault="00D61AB3">
            <w:pPr>
              <w:spacing w:before="120" w:after="120"/>
              <w:jc w:val="center"/>
            </w:pPr>
            <w:r>
              <w:t>O desfecho analisado não atende aos critérios estabelecidos na PICO.</w:t>
            </w:r>
          </w:p>
          <w:p w14:paraId="4FB5EB0C" w14:textId="77777777" w:rsidR="008238E6" w:rsidRDefault="00D61AB3">
            <w:pPr>
              <w:spacing w:before="120" w:after="120"/>
              <w:jc w:val="center"/>
            </w:pPr>
            <w:r>
              <w:t>Nenhum resultado publicado</w:t>
            </w:r>
          </w:p>
        </w:tc>
      </w:tr>
      <w:tr w:rsidR="008238E6" w14:paraId="4FB5EB13" w14:textId="77777777">
        <w:trPr>
          <w:trHeight w:val="413"/>
          <w:jc w:val="center"/>
        </w:trPr>
        <w:tc>
          <w:tcPr>
            <w:tcW w:w="3756" w:type="dxa"/>
          </w:tcPr>
          <w:p w14:paraId="4FB5EB0E" w14:textId="77777777" w:rsidR="008238E6" w:rsidRDefault="00D61AB3">
            <w:pPr>
              <w:spacing w:before="120" w:after="120"/>
            </w:pPr>
            <w:r>
              <w:t>Genetic Causes of Gestational Diabetes in the Emirati Population</w:t>
            </w:r>
          </w:p>
          <w:p w14:paraId="4FB5EB0F" w14:textId="77777777" w:rsidR="008238E6" w:rsidRDefault="00D61AB3">
            <w:pPr>
              <w:spacing w:before="120" w:after="120"/>
            </w:pPr>
            <w:r>
              <w:t>NCT03589092</w:t>
            </w:r>
          </w:p>
        </w:tc>
        <w:tc>
          <w:tcPr>
            <w:tcW w:w="5386" w:type="dxa"/>
            <w:gridSpan w:val="2"/>
          </w:tcPr>
          <w:p w14:paraId="4FB5EB10" w14:textId="77777777" w:rsidR="008238E6" w:rsidRDefault="00D61AB3">
            <w:pPr>
              <w:spacing w:before="120" w:after="120"/>
              <w:jc w:val="center"/>
            </w:pPr>
            <w:r>
              <w:t>Excluído.</w:t>
            </w:r>
          </w:p>
          <w:p w14:paraId="4FB5EB11" w14:textId="77777777" w:rsidR="008238E6" w:rsidRDefault="00D61AB3">
            <w:pPr>
              <w:spacing w:before="120" w:after="120"/>
              <w:jc w:val="center"/>
            </w:pPr>
            <w:r>
              <w:t>População: Diabetes gestacional</w:t>
            </w:r>
          </w:p>
          <w:p w14:paraId="4FB5EB12" w14:textId="77777777" w:rsidR="008238E6" w:rsidRDefault="00D61AB3">
            <w:pPr>
              <w:spacing w:before="120" w:after="120"/>
              <w:jc w:val="center"/>
            </w:pPr>
            <w:r>
              <w:t>Nenhum resultado publicado</w:t>
            </w:r>
          </w:p>
        </w:tc>
      </w:tr>
      <w:tr w:rsidR="008238E6" w14:paraId="4FB5EB19" w14:textId="77777777">
        <w:trPr>
          <w:trHeight w:val="413"/>
          <w:jc w:val="center"/>
        </w:trPr>
        <w:tc>
          <w:tcPr>
            <w:tcW w:w="3756" w:type="dxa"/>
          </w:tcPr>
          <w:p w14:paraId="4FB5EB14" w14:textId="77777777" w:rsidR="008238E6" w:rsidRDefault="00D61AB3">
            <w:pPr>
              <w:spacing w:before="120" w:after="120"/>
            </w:pPr>
            <w:r>
              <w:t>Predisposition Genes in Monogenic Diabetes (DIAMONO) (DIAMONO)</w:t>
            </w:r>
          </w:p>
          <w:p w14:paraId="4FB5EB15" w14:textId="77777777" w:rsidR="008238E6" w:rsidRDefault="00D61AB3">
            <w:pPr>
              <w:spacing w:before="120" w:after="120"/>
            </w:pPr>
            <w:r>
              <w:t>NCT02634229</w:t>
            </w:r>
          </w:p>
        </w:tc>
        <w:tc>
          <w:tcPr>
            <w:tcW w:w="5386" w:type="dxa"/>
            <w:gridSpan w:val="2"/>
          </w:tcPr>
          <w:p w14:paraId="4FB5EB16" w14:textId="77777777" w:rsidR="008238E6" w:rsidRDefault="00D61AB3">
            <w:pPr>
              <w:spacing w:before="120" w:after="120"/>
              <w:jc w:val="center"/>
            </w:pPr>
            <w:r>
              <w:t>Excluído.</w:t>
            </w:r>
          </w:p>
          <w:p w14:paraId="4FB5EB17" w14:textId="77777777" w:rsidR="008238E6" w:rsidRDefault="00D61AB3">
            <w:pPr>
              <w:spacing w:before="120" w:after="120"/>
              <w:jc w:val="center"/>
            </w:pPr>
            <w:r>
              <w:t>O desfecho analisado não atende aos critérios estabelecidos na PICO.</w:t>
            </w:r>
          </w:p>
          <w:p w14:paraId="4FB5EB18" w14:textId="77777777" w:rsidR="008238E6" w:rsidRDefault="00D61AB3">
            <w:pPr>
              <w:spacing w:before="120" w:after="120"/>
              <w:jc w:val="center"/>
            </w:pPr>
            <w:r>
              <w:t>Nenhum resultado publicado</w:t>
            </w:r>
          </w:p>
        </w:tc>
      </w:tr>
      <w:tr w:rsidR="008238E6" w14:paraId="4FB5EB1E" w14:textId="77777777">
        <w:trPr>
          <w:trHeight w:val="413"/>
          <w:jc w:val="center"/>
        </w:trPr>
        <w:tc>
          <w:tcPr>
            <w:tcW w:w="3756" w:type="dxa"/>
          </w:tcPr>
          <w:p w14:paraId="4FB5EB1A" w14:textId="77777777" w:rsidR="008238E6" w:rsidRDefault="00D61AB3">
            <w:pPr>
              <w:spacing w:before="120" w:after="120"/>
            </w:pPr>
            <w:r>
              <w:t>A Study of the Impact of Genetic Testing on Clinical Decision Making and Patient Care (REVOLUTION)</w:t>
            </w:r>
          </w:p>
          <w:p w14:paraId="4FB5EB1B" w14:textId="77777777" w:rsidR="008238E6" w:rsidRDefault="00D61AB3">
            <w:pPr>
              <w:spacing w:before="120" w:after="120"/>
            </w:pPr>
            <w:r>
              <w:t>NCT02487888</w:t>
            </w:r>
          </w:p>
        </w:tc>
        <w:tc>
          <w:tcPr>
            <w:tcW w:w="5386" w:type="dxa"/>
            <w:gridSpan w:val="2"/>
          </w:tcPr>
          <w:p w14:paraId="4FB5EB1C" w14:textId="77777777" w:rsidR="008238E6" w:rsidRDefault="00D61AB3">
            <w:pPr>
              <w:spacing w:before="120" w:after="120"/>
              <w:jc w:val="center"/>
            </w:pPr>
            <w:r>
              <w:t>Excluído.</w:t>
            </w:r>
          </w:p>
          <w:p w14:paraId="4FB5EB1D" w14:textId="77777777" w:rsidR="008238E6" w:rsidRDefault="00D61AB3">
            <w:pPr>
              <w:spacing w:before="120" w:after="120"/>
              <w:jc w:val="center"/>
            </w:pPr>
            <w:r>
              <w:t>Nenhum resultado publicado</w:t>
            </w:r>
          </w:p>
        </w:tc>
      </w:tr>
      <w:tr w:rsidR="008238E6" w14:paraId="4FB5EB24" w14:textId="77777777">
        <w:trPr>
          <w:trHeight w:val="413"/>
          <w:jc w:val="center"/>
        </w:trPr>
        <w:tc>
          <w:tcPr>
            <w:tcW w:w="3756" w:type="dxa"/>
          </w:tcPr>
          <w:p w14:paraId="4FB5EB1F" w14:textId="77777777" w:rsidR="008238E6" w:rsidRDefault="00D61AB3">
            <w:pPr>
              <w:spacing w:before="120" w:after="120"/>
            </w:pPr>
            <w:r>
              <w:t>GENETIC SUSCEPTIBILITY FACTOR AS A PREDICTOR OF TYPE 2 DIABETES REMISSION AND WEIGHT LOSS AFTER BARIATRIC SURGERY (OBEGEN)</w:t>
            </w:r>
          </w:p>
          <w:p w14:paraId="4FB5EB20" w14:textId="77777777" w:rsidR="008238E6" w:rsidRDefault="00D61AB3">
            <w:pPr>
              <w:spacing w:before="120" w:after="120"/>
            </w:pPr>
            <w:r>
              <w:t>NCT02405949</w:t>
            </w:r>
          </w:p>
        </w:tc>
        <w:tc>
          <w:tcPr>
            <w:tcW w:w="5386" w:type="dxa"/>
            <w:gridSpan w:val="2"/>
          </w:tcPr>
          <w:p w14:paraId="4FB5EB21" w14:textId="77777777" w:rsidR="008238E6" w:rsidRDefault="00D61AB3">
            <w:pPr>
              <w:spacing w:before="120" w:after="120"/>
              <w:jc w:val="center"/>
            </w:pPr>
            <w:r>
              <w:t>Excluído.</w:t>
            </w:r>
          </w:p>
          <w:p w14:paraId="4FB5EB22" w14:textId="77777777" w:rsidR="008238E6" w:rsidRDefault="00D61AB3">
            <w:pPr>
              <w:spacing w:before="120" w:after="120"/>
              <w:jc w:val="center"/>
            </w:pPr>
            <w:r>
              <w:t>População: Diabetes tipo 2</w:t>
            </w:r>
          </w:p>
          <w:p w14:paraId="4FB5EB23" w14:textId="77777777" w:rsidR="008238E6" w:rsidRDefault="00D61AB3">
            <w:pPr>
              <w:spacing w:before="120" w:after="120"/>
              <w:jc w:val="center"/>
            </w:pPr>
            <w:r>
              <w:t>Nenhum resultado publicado</w:t>
            </w:r>
          </w:p>
        </w:tc>
      </w:tr>
      <w:tr w:rsidR="008238E6" w14:paraId="4FB5EB2A" w14:textId="77777777">
        <w:trPr>
          <w:trHeight w:val="413"/>
          <w:jc w:val="center"/>
        </w:trPr>
        <w:tc>
          <w:tcPr>
            <w:tcW w:w="3756" w:type="dxa"/>
          </w:tcPr>
          <w:p w14:paraId="4FB5EB25" w14:textId="77777777" w:rsidR="008238E6" w:rsidRDefault="00D61AB3">
            <w:pPr>
              <w:spacing w:before="120" w:after="120"/>
            </w:pPr>
            <w:r>
              <w:t>Effect of Type 2 Diabetes Genetic Risk Information on Health Behaviors and Outcomes (TDE)</w:t>
            </w:r>
          </w:p>
          <w:p w14:paraId="4FB5EB26" w14:textId="77777777" w:rsidR="008238E6" w:rsidRDefault="00D61AB3">
            <w:pPr>
              <w:spacing w:before="120" w:after="120"/>
            </w:pPr>
            <w:r>
              <w:t>NCT00849563</w:t>
            </w:r>
          </w:p>
        </w:tc>
        <w:tc>
          <w:tcPr>
            <w:tcW w:w="5386" w:type="dxa"/>
            <w:gridSpan w:val="2"/>
          </w:tcPr>
          <w:p w14:paraId="4FB5EB27" w14:textId="77777777" w:rsidR="008238E6" w:rsidRDefault="00D61AB3">
            <w:pPr>
              <w:spacing w:before="120" w:after="120"/>
              <w:jc w:val="center"/>
            </w:pPr>
            <w:r>
              <w:t>Excluído.</w:t>
            </w:r>
          </w:p>
          <w:p w14:paraId="4FB5EB28" w14:textId="77777777" w:rsidR="008238E6" w:rsidRDefault="00D61AB3">
            <w:pPr>
              <w:spacing w:before="120" w:after="120"/>
              <w:jc w:val="center"/>
            </w:pPr>
            <w:r>
              <w:t>População: Diabetes tipo 2</w:t>
            </w:r>
          </w:p>
          <w:p w14:paraId="4FB5EB29" w14:textId="77777777" w:rsidR="008238E6" w:rsidRDefault="00D61AB3">
            <w:pPr>
              <w:spacing w:before="120" w:after="120"/>
              <w:jc w:val="center"/>
            </w:pPr>
            <w:r>
              <w:t>Nenhum resultado publicado</w:t>
            </w:r>
          </w:p>
        </w:tc>
      </w:tr>
      <w:tr w:rsidR="008238E6" w14:paraId="4FB5EB30" w14:textId="77777777">
        <w:trPr>
          <w:trHeight w:val="1926"/>
          <w:jc w:val="center"/>
        </w:trPr>
        <w:tc>
          <w:tcPr>
            <w:tcW w:w="3756" w:type="dxa"/>
          </w:tcPr>
          <w:p w14:paraId="4FB5EB2B" w14:textId="77777777" w:rsidR="008238E6" w:rsidRDefault="00D61AB3">
            <w:pPr>
              <w:spacing w:before="120" w:after="120"/>
            </w:pPr>
            <w:r>
              <w:t>Comparative Metabolomics in Diabetes Patients From Sri Lanka and Switzerland</w:t>
            </w:r>
          </w:p>
          <w:p w14:paraId="4FB5EB2C" w14:textId="77777777" w:rsidR="008238E6" w:rsidRDefault="00D61AB3">
            <w:pPr>
              <w:spacing w:before="120" w:after="120"/>
            </w:pPr>
            <w:r>
              <w:t>NCT05787457</w:t>
            </w:r>
          </w:p>
        </w:tc>
        <w:tc>
          <w:tcPr>
            <w:tcW w:w="5386" w:type="dxa"/>
            <w:gridSpan w:val="2"/>
          </w:tcPr>
          <w:p w14:paraId="4FB5EB2D" w14:textId="77777777" w:rsidR="008238E6" w:rsidRDefault="00D61AB3">
            <w:pPr>
              <w:spacing w:before="120" w:after="120"/>
              <w:jc w:val="center"/>
            </w:pPr>
            <w:r>
              <w:t>Excluído.</w:t>
            </w:r>
          </w:p>
          <w:p w14:paraId="4FB5EB2E" w14:textId="77777777" w:rsidR="008238E6" w:rsidRDefault="00D61AB3">
            <w:pPr>
              <w:spacing w:before="120" w:after="120"/>
            </w:pPr>
            <w:r>
              <w:t>O desfecho analisado não atende aos critérios estabelecidos na PICO.</w:t>
            </w:r>
          </w:p>
          <w:p w14:paraId="4FB5EB2F" w14:textId="77777777" w:rsidR="008238E6" w:rsidRDefault="00D61AB3">
            <w:pPr>
              <w:spacing w:before="120" w:after="120"/>
              <w:jc w:val="center"/>
            </w:pPr>
            <w:r>
              <w:t>Nenhum resultado publicado</w:t>
            </w:r>
          </w:p>
        </w:tc>
      </w:tr>
      <w:tr w:rsidR="008238E6" w14:paraId="4FB5EB36" w14:textId="77777777">
        <w:trPr>
          <w:trHeight w:val="413"/>
          <w:jc w:val="center"/>
        </w:trPr>
        <w:tc>
          <w:tcPr>
            <w:tcW w:w="3756" w:type="dxa"/>
          </w:tcPr>
          <w:p w14:paraId="4FB5EB31" w14:textId="77777777" w:rsidR="008238E6" w:rsidRDefault="00D61AB3">
            <w:pPr>
              <w:spacing w:before="120" w:after="120"/>
            </w:pPr>
            <w:r>
              <w:t>Study to Understand the Genetics of the Acute Response to Metformin and Glipizide in Humans (SUGAR-MGH)</w:t>
            </w:r>
          </w:p>
          <w:p w14:paraId="4FB5EB32" w14:textId="77777777" w:rsidR="008238E6" w:rsidRDefault="00D61AB3">
            <w:pPr>
              <w:spacing w:before="120" w:after="120"/>
            </w:pPr>
            <w:r>
              <w:t>NCT01762046</w:t>
            </w:r>
          </w:p>
        </w:tc>
        <w:tc>
          <w:tcPr>
            <w:tcW w:w="5386" w:type="dxa"/>
            <w:gridSpan w:val="2"/>
          </w:tcPr>
          <w:p w14:paraId="4FB5EB33" w14:textId="77777777" w:rsidR="008238E6" w:rsidRDefault="00D61AB3">
            <w:pPr>
              <w:spacing w:before="120" w:after="120"/>
              <w:jc w:val="center"/>
            </w:pPr>
            <w:r>
              <w:t>Excluído.</w:t>
            </w:r>
          </w:p>
          <w:p w14:paraId="4FB5EB34" w14:textId="77777777" w:rsidR="008238E6" w:rsidRDefault="00D61AB3">
            <w:pPr>
              <w:spacing w:before="120" w:after="120"/>
            </w:pPr>
            <w:r>
              <w:t>O desfecho analisado não atende aos critérios estabelecidos na PICO.</w:t>
            </w:r>
          </w:p>
          <w:p w14:paraId="4FB5EB35" w14:textId="77777777" w:rsidR="008238E6" w:rsidRDefault="00D61AB3">
            <w:pPr>
              <w:spacing w:before="120" w:after="120"/>
              <w:jc w:val="center"/>
            </w:pPr>
            <w:r>
              <w:t>Nenhum resultado publicado</w:t>
            </w:r>
          </w:p>
        </w:tc>
      </w:tr>
      <w:tr w:rsidR="008238E6" w14:paraId="4FB5EB3B" w14:textId="77777777">
        <w:trPr>
          <w:trHeight w:val="413"/>
          <w:jc w:val="center"/>
        </w:trPr>
        <w:tc>
          <w:tcPr>
            <w:tcW w:w="3756" w:type="dxa"/>
          </w:tcPr>
          <w:p w14:paraId="4FB5EB37" w14:textId="77777777" w:rsidR="008238E6" w:rsidRDefault="00D61AB3">
            <w:pPr>
              <w:spacing w:before="120" w:after="120"/>
            </w:pPr>
            <w:r>
              <w:t>Genetic Testing for Type 2 Diabetes</w:t>
            </w:r>
          </w:p>
          <w:p w14:paraId="4FB5EB38" w14:textId="77777777" w:rsidR="008238E6" w:rsidRDefault="00D61AB3">
            <w:pPr>
              <w:spacing w:before="120" w:after="120"/>
            </w:pPr>
            <w:r>
              <w:t>NCT01060540</w:t>
            </w:r>
          </w:p>
        </w:tc>
        <w:tc>
          <w:tcPr>
            <w:tcW w:w="5386" w:type="dxa"/>
            <w:gridSpan w:val="2"/>
          </w:tcPr>
          <w:p w14:paraId="4FB5EB39" w14:textId="77777777" w:rsidR="008238E6" w:rsidRDefault="00D61AB3">
            <w:pPr>
              <w:spacing w:before="120" w:after="120"/>
              <w:jc w:val="center"/>
            </w:pPr>
            <w:r>
              <w:t>Excluído.</w:t>
            </w:r>
          </w:p>
          <w:p w14:paraId="4FB5EB3A" w14:textId="77777777" w:rsidR="008238E6" w:rsidRDefault="00D61AB3">
            <w:pPr>
              <w:spacing w:before="120" w:after="120"/>
              <w:jc w:val="center"/>
            </w:pPr>
            <w:r>
              <w:t>População: Diabetes tipo 2</w:t>
            </w:r>
          </w:p>
        </w:tc>
      </w:tr>
      <w:tr w:rsidR="008238E6" w14:paraId="4FB5EB41" w14:textId="77777777">
        <w:trPr>
          <w:trHeight w:val="413"/>
          <w:jc w:val="center"/>
        </w:trPr>
        <w:tc>
          <w:tcPr>
            <w:tcW w:w="3756" w:type="dxa"/>
          </w:tcPr>
          <w:p w14:paraId="4FB5EB3C" w14:textId="77777777" w:rsidR="008238E6" w:rsidRDefault="00D61AB3">
            <w:pPr>
              <w:spacing w:before="120" w:after="120"/>
            </w:pPr>
            <w:r>
              <w:t>Predictive Genetic Risk Assessment Trial (PGT)</w:t>
            </w:r>
          </w:p>
          <w:p w14:paraId="4FB5EB3D" w14:textId="77777777" w:rsidR="008238E6" w:rsidRDefault="00D61AB3">
            <w:pPr>
              <w:spacing w:before="120" w:after="120"/>
            </w:pPr>
            <w:r>
              <w:t>NCT00782366</w:t>
            </w:r>
          </w:p>
        </w:tc>
        <w:tc>
          <w:tcPr>
            <w:tcW w:w="5386" w:type="dxa"/>
            <w:gridSpan w:val="2"/>
          </w:tcPr>
          <w:p w14:paraId="4FB5EB3E" w14:textId="77777777" w:rsidR="008238E6" w:rsidRDefault="00D61AB3">
            <w:pPr>
              <w:spacing w:before="120" w:after="120"/>
              <w:jc w:val="center"/>
            </w:pPr>
            <w:r>
              <w:t>Excluído.</w:t>
            </w:r>
          </w:p>
          <w:p w14:paraId="4FB5EB3F" w14:textId="77777777" w:rsidR="008238E6" w:rsidRDefault="00D61AB3">
            <w:pPr>
              <w:spacing w:before="120" w:after="120"/>
            </w:pPr>
            <w:r>
              <w:t>O desfecho analisado não atende aos critérios estabelecidos na PICO.</w:t>
            </w:r>
          </w:p>
          <w:p w14:paraId="4FB5EB40" w14:textId="77777777" w:rsidR="008238E6" w:rsidRDefault="00D61AB3">
            <w:pPr>
              <w:spacing w:before="120" w:after="120"/>
              <w:jc w:val="center"/>
            </w:pPr>
            <w:r>
              <w:t>Nenhum resultado publicado</w:t>
            </w:r>
          </w:p>
        </w:tc>
      </w:tr>
      <w:tr w:rsidR="008238E6" w14:paraId="4FB5EB47" w14:textId="77777777">
        <w:trPr>
          <w:trHeight w:val="413"/>
          <w:jc w:val="center"/>
        </w:trPr>
        <w:tc>
          <w:tcPr>
            <w:tcW w:w="3756" w:type="dxa"/>
          </w:tcPr>
          <w:p w14:paraId="4FB5EB42" w14:textId="77777777" w:rsidR="008238E6" w:rsidRDefault="00D61AB3">
            <w:pPr>
              <w:spacing w:before="120" w:after="120"/>
            </w:pPr>
            <w:r>
              <w:t>Study of Clinical Response to Acute Metformin By Leveraging Evaluations During a Mixed Meal Tolerance Test for Exploring Glycemia and GeneticS (SCRAMBLED EGGS)</w:t>
            </w:r>
          </w:p>
          <w:p w14:paraId="4FB5EB43" w14:textId="77777777" w:rsidR="008238E6" w:rsidRDefault="00D61AB3">
            <w:pPr>
              <w:spacing w:before="120" w:after="120"/>
            </w:pPr>
            <w:r>
              <w:t>NCT02087826</w:t>
            </w:r>
          </w:p>
        </w:tc>
        <w:tc>
          <w:tcPr>
            <w:tcW w:w="5386" w:type="dxa"/>
            <w:gridSpan w:val="2"/>
          </w:tcPr>
          <w:p w14:paraId="4FB5EB44" w14:textId="77777777" w:rsidR="008238E6" w:rsidRDefault="00D61AB3">
            <w:pPr>
              <w:spacing w:before="120" w:after="120"/>
              <w:jc w:val="center"/>
            </w:pPr>
            <w:r>
              <w:t>Excluído.</w:t>
            </w:r>
          </w:p>
          <w:p w14:paraId="4FB5EB45" w14:textId="77777777" w:rsidR="008238E6" w:rsidRDefault="00D61AB3">
            <w:pPr>
              <w:spacing w:before="120" w:after="120"/>
              <w:jc w:val="center"/>
            </w:pPr>
            <w:r>
              <w:t>Intervenção: metformina.</w:t>
            </w:r>
          </w:p>
          <w:p w14:paraId="4FB5EB46" w14:textId="77777777" w:rsidR="008238E6" w:rsidRDefault="00D61AB3">
            <w:pPr>
              <w:spacing w:before="120" w:after="120"/>
              <w:jc w:val="center"/>
            </w:pPr>
            <w:r>
              <w:t>Nenhum resultado publicado</w:t>
            </w:r>
          </w:p>
        </w:tc>
      </w:tr>
      <w:tr w:rsidR="008238E6" w14:paraId="4FB5EB4D" w14:textId="77777777">
        <w:trPr>
          <w:trHeight w:val="413"/>
          <w:jc w:val="center"/>
        </w:trPr>
        <w:tc>
          <w:tcPr>
            <w:tcW w:w="3756" w:type="dxa"/>
          </w:tcPr>
          <w:p w14:paraId="4FB5EB48" w14:textId="77777777" w:rsidR="008238E6" w:rsidRDefault="00D61AB3">
            <w:pPr>
              <w:spacing w:before="120" w:after="120"/>
            </w:pPr>
            <w:r>
              <w:t>GENETIC VARIABILITY TO GLP1 TREATMENT (GLP1 treatment)</w:t>
            </w:r>
          </w:p>
          <w:p w14:paraId="4FB5EB49" w14:textId="77777777" w:rsidR="008238E6" w:rsidRDefault="00D61AB3">
            <w:pPr>
              <w:spacing w:before="120" w:after="120"/>
            </w:pPr>
            <w:r>
              <w:t>NCT06298799</w:t>
            </w:r>
          </w:p>
        </w:tc>
        <w:tc>
          <w:tcPr>
            <w:tcW w:w="5386" w:type="dxa"/>
            <w:gridSpan w:val="2"/>
          </w:tcPr>
          <w:p w14:paraId="4FB5EB4A" w14:textId="77777777" w:rsidR="008238E6" w:rsidRDefault="00D61AB3">
            <w:pPr>
              <w:spacing w:before="120" w:after="120"/>
              <w:jc w:val="center"/>
            </w:pPr>
            <w:r>
              <w:t>Excluído.</w:t>
            </w:r>
          </w:p>
          <w:p w14:paraId="4FB5EB4B" w14:textId="77777777" w:rsidR="008238E6" w:rsidRDefault="00D61AB3">
            <w:pPr>
              <w:spacing w:before="120" w:after="120"/>
            </w:pPr>
            <w:r>
              <w:t>O desfecho analisado não atende aos critérios estabelecidos na PICO.</w:t>
            </w:r>
          </w:p>
          <w:p w14:paraId="4FB5EB4C" w14:textId="77777777" w:rsidR="008238E6" w:rsidRDefault="00D61AB3">
            <w:pPr>
              <w:spacing w:before="120" w:after="120"/>
              <w:jc w:val="center"/>
            </w:pPr>
            <w:r>
              <w:t>Nenhum resultado publicado</w:t>
            </w:r>
          </w:p>
        </w:tc>
      </w:tr>
      <w:tr w:rsidR="008238E6" w14:paraId="4FB5EB52" w14:textId="77777777">
        <w:trPr>
          <w:trHeight w:val="413"/>
          <w:jc w:val="center"/>
        </w:trPr>
        <w:tc>
          <w:tcPr>
            <w:tcW w:w="3756" w:type="dxa"/>
          </w:tcPr>
          <w:p w14:paraId="4FB5EB4E" w14:textId="77777777" w:rsidR="008238E6" w:rsidRDefault="00D61AB3">
            <w:pPr>
              <w:spacing w:before="120" w:after="120"/>
            </w:pPr>
            <w:r>
              <w:t>Genetic Risk and Health Coaching for Type 2 Diabetes and Coronary Heart Disease</w:t>
            </w:r>
          </w:p>
          <w:p w14:paraId="4FB5EB4F" w14:textId="77777777" w:rsidR="008238E6" w:rsidRDefault="00D61AB3">
            <w:pPr>
              <w:spacing w:before="120" w:after="120"/>
            </w:pPr>
            <w:r>
              <w:t>NCT01884545</w:t>
            </w:r>
          </w:p>
        </w:tc>
        <w:tc>
          <w:tcPr>
            <w:tcW w:w="5386" w:type="dxa"/>
            <w:gridSpan w:val="2"/>
          </w:tcPr>
          <w:p w14:paraId="4FB5EB50" w14:textId="77777777" w:rsidR="008238E6" w:rsidRDefault="00D61AB3">
            <w:pPr>
              <w:spacing w:before="120" w:after="120"/>
              <w:jc w:val="center"/>
            </w:pPr>
            <w:r>
              <w:t>Excluído.</w:t>
            </w:r>
          </w:p>
          <w:p w14:paraId="4FB5EB51" w14:textId="77777777" w:rsidR="008238E6" w:rsidRDefault="00D61AB3">
            <w:pPr>
              <w:spacing w:before="120" w:after="120"/>
              <w:jc w:val="center"/>
            </w:pPr>
            <w:r>
              <w:t>População: Diabetes tipo 2</w:t>
            </w:r>
          </w:p>
        </w:tc>
      </w:tr>
      <w:tr w:rsidR="008238E6" w14:paraId="4FB5EB58" w14:textId="77777777">
        <w:trPr>
          <w:trHeight w:val="413"/>
          <w:jc w:val="center"/>
        </w:trPr>
        <w:tc>
          <w:tcPr>
            <w:tcW w:w="3756" w:type="dxa"/>
          </w:tcPr>
          <w:p w14:paraId="4FB5EB53" w14:textId="77777777" w:rsidR="008238E6" w:rsidRDefault="00D61AB3">
            <w:pPr>
              <w:spacing w:before="120" w:after="120"/>
            </w:pPr>
            <w:r>
              <w:t>GLUCOSE-MGH: Genetic Links Understood Through Challenge With Oral Semaglutide Exposure at MGH (GLUCOSE-MGH)</w:t>
            </w:r>
          </w:p>
          <w:p w14:paraId="4FB5EB54" w14:textId="77777777" w:rsidR="008238E6" w:rsidRDefault="00D61AB3">
            <w:pPr>
              <w:spacing w:before="120" w:after="120"/>
            </w:pPr>
            <w:r>
              <w:t>NCT06003153</w:t>
            </w:r>
          </w:p>
        </w:tc>
        <w:tc>
          <w:tcPr>
            <w:tcW w:w="5386" w:type="dxa"/>
            <w:gridSpan w:val="2"/>
          </w:tcPr>
          <w:p w14:paraId="4FB5EB55" w14:textId="77777777" w:rsidR="008238E6" w:rsidRDefault="00D61AB3">
            <w:pPr>
              <w:spacing w:before="120" w:after="120"/>
              <w:jc w:val="center"/>
            </w:pPr>
            <w:r>
              <w:t>Excluído.</w:t>
            </w:r>
          </w:p>
          <w:p w14:paraId="4FB5EB56" w14:textId="77777777" w:rsidR="008238E6" w:rsidRDefault="00D61AB3">
            <w:pPr>
              <w:spacing w:before="120" w:after="120"/>
              <w:jc w:val="center"/>
            </w:pPr>
            <w:r>
              <w:t>Intervenção:  semaglutida .</w:t>
            </w:r>
          </w:p>
          <w:p w14:paraId="4FB5EB57" w14:textId="77777777" w:rsidR="008238E6" w:rsidRDefault="00D61AB3">
            <w:pPr>
              <w:spacing w:before="120" w:after="120"/>
              <w:jc w:val="center"/>
            </w:pPr>
            <w:r>
              <w:t>Nenhum resultado publicado</w:t>
            </w:r>
          </w:p>
        </w:tc>
      </w:tr>
      <w:tr w:rsidR="008238E6" w14:paraId="4FB5EB60" w14:textId="77777777">
        <w:trPr>
          <w:trHeight w:val="413"/>
          <w:jc w:val="center"/>
        </w:trPr>
        <w:tc>
          <w:tcPr>
            <w:tcW w:w="3756" w:type="dxa"/>
          </w:tcPr>
          <w:p w14:paraId="4FB5EB59" w14:textId="77777777" w:rsidR="008238E6" w:rsidRDefault="00D61AB3">
            <w:pPr>
              <w:spacing w:before="120" w:after="120"/>
            </w:pPr>
            <w:r>
              <w:t>Phenotyping Genetic Risk for Type 2 Diabetes</w:t>
            </w:r>
          </w:p>
          <w:p w14:paraId="4FB5EB5A" w14:textId="77777777" w:rsidR="008238E6" w:rsidRDefault="00D61AB3">
            <w:pPr>
              <w:spacing w:before="120" w:after="120"/>
            </w:pPr>
            <w:r>
              <w:t>NCT04024631</w:t>
            </w:r>
          </w:p>
          <w:p w14:paraId="4FB5EB5B" w14:textId="77777777" w:rsidR="008238E6" w:rsidRDefault="008238E6">
            <w:pPr>
              <w:spacing w:before="120" w:after="120"/>
            </w:pPr>
          </w:p>
          <w:p w14:paraId="4FB5EB5C" w14:textId="77777777" w:rsidR="008238E6" w:rsidRDefault="008238E6">
            <w:pPr>
              <w:spacing w:before="120" w:after="120"/>
            </w:pPr>
          </w:p>
        </w:tc>
        <w:tc>
          <w:tcPr>
            <w:tcW w:w="5386" w:type="dxa"/>
            <w:gridSpan w:val="2"/>
          </w:tcPr>
          <w:p w14:paraId="4FB5EB5D" w14:textId="77777777" w:rsidR="008238E6" w:rsidRDefault="00D61AB3">
            <w:pPr>
              <w:spacing w:before="120" w:after="120"/>
              <w:jc w:val="center"/>
            </w:pPr>
            <w:r>
              <w:t>Excluído.</w:t>
            </w:r>
          </w:p>
          <w:p w14:paraId="4FB5EB5E" w14:textId="77777777" w:rsidR="008238E6" w:rsidRDefault="00D61AB3">
            <w:pPr>
              <w:spacing w:before="120" w:after="120"/>
              <w:jc w:val="center"/>
            </w:pPr>
            <w:r>
              <w:t>População: Diabetes tipo 2</w:t>
            </w:r>
          </w:p>
          <w:p w14:paraId="4FB5EB5F" w14:textId="77777777" w:rsidR="008238E6" w:rsidRDefault="00D61AB3">
            <w:pPr>
              <w:spacing w:before="120" w:after="120"/>
              <w:jc w:val="center"/>
            </w:pPr>
            <w:r>
              <w:t>Nenhum resultado publicado</w:t>
            </w:r>
          </w:p>
        </w:tc>
      </w:tr>
      <w:tr w:rsidR="008238E6" w14:paraId="4FB5EB66" w14:textId="77777777">
        <w:trPr>
          <w:trHeight w:val="413"/>
          <w:jc w:val="center"/>
        </w:trPr>
        <w:tc>
          <w:tcPr>
            <w:tcW w:w="3756" w:type="dxa"/>
          </w:tcPr>
          <w:p w14:paraId="4FB5EB61" w14:textId="77777777" w:rsidR="008238E6" w:rsidRDefault="00D61AB3">
            <w:pPr>
              <w:spacing w:before="120" w:after="120"/>
            </w:pPr>
            <w:r>
              <w:t>Common Genetic Variation and Type 2 Diabetes</w:t>
            </w:r>
          </w:p>
          <w:p w14:paraId="4FB5EB62" w14:textId="77777777" w:rsidR="008238E6" w:rsidRDefault="00D61AB3">
            <w:pPr>
              <w:spacing w:before="120" w:after="120"/>
            </w:pPr>
            <w:r>
              <w:t>NCT00707616</w:t>
            </w:r>
          </w:p>
        </w:tc>
        <w:tc>
          <w:tcPr>
            <w:tcW w:w="5386" w:type="dxa"/>
            <w:gridSpan w:val="2"/>
          </w:tcPr>
          <w:p w14:paraId="4FB5EB63" w14:textId="77777777" w:rsidR="008238E6" w:rsidRDefault="00D61AB3">
            <w:pPr>
              <w:spacing w:before="120" w:after="120"/>
              <w:jc w:val="center"/>
            </w:pPr>
            <w:r>
              <w:t>Excluído.</w:t>
            </w:r>
          </w:p>
          <w:p w14:paraId="4FB5EB64" w14:textId="77777777" w:rsidR="008238E6" w:rsidRDefault="00D61AB3">
            <w:pPr>
              <w:spacing w:before="120" w:after="120"/>
              <w:jc w:val="center"/>
            </w:pPr>
            <w:r>
              <w:t>População: Diabetes tipo 2</w:t>
            </w:r>
          </w:p>
          <w:p w14:paraId="4FB5EB65" w14:textId="77777777" w:rsidR="008238E6" w:rsidRDefault="00D61AB3">
            <w:pPr>
              <w:spacing w:before="120" w:after="120"/>
              <w:jc w:val="center"/>
            </w:pPr>
            <w:r>
              <w:t>Nenhum resultado publicado</w:t>
            </w:r>
          </w:p>
        </w:tc>
      </w:tr>
      <w:tr w:rsidR="008238E6" w14:paraId="4FB5EB6C" w14:textId="77777777">
        <w:trPr>
          <w:trHeight w:val="413"/>
          <w:jc w:val="center"/>
        </w:trPr>
        <w:tc>
          <w:tcPr>
            <w:tcW w:w="3756" w:type="dxa"/>
          </w:tcPr>
          <w:p w14:paraId="4FB5EB67" w14:textId="77777777" w:rsidR="008238E6" w:rsidRDefault="00D61AB3">
            <w:pPr>
              <w:spacing w:before="120" w:after="120"/>
            </w:pPr>
            <w:r>
              <w:t>Defining the Molecular and Physiological Mechanisms of Pancreatic Islet Cell Dysfunction Which Lead to Type 2 Diabetes (DIVA-Exeter)</w:t>
            </w:r>
          </w:p>
          <w:p w14:paraId="4FB5EB68" w14:textId="77777777" w:rsidR="008238E6" w:rsidRDefault="00D61AB3">
            <w:pPr>
              <w:spacing w:before="120" w:after="120"/>
            </w:pPr>
            <w:r>
              <w:t>NCT02505308</w:t>
            </w:r>
          </w:p>
        </w:tc>
        <w:tc>
          <w:tcPr>
            <w:tcW w:w="5386" w:type="dxa"/>
            <w:gridSpan w:val="2"/>
          </w:tcPr>
          <w:p w14:paraId="4FB5EB69" w14:textId="77777777" w:rsidR="008238E6" w:rsidRDefault="00D61AB3">
            <w:pPr>
              <w:spacing w:before="120" w:after="120"/>
              <w:jc w:val="center"/>
            </w:pPr>
            <w:r>
              <w:t>Excluído.</w:t>
            </w:r>
          </w:p>
          <w:p w14:paraId="4FB5EB6A" w14:textId="77777777" w:rsidR="008238E6" w:rsidRDefault="00D61AB3">
            <w:pPr>
              <w:spacing w:before="120" w:after="120"/>
              <w:jc w:val="center"/>
            </w:pPr>
            <w:r>
              <w:t>População: Diabetes tipo 2</w:t>
            </w:r>
          </w:p>
          <w:p w14:paraId="4FB5EB6B" w14:textId="77777777" w:rsidR="008238E6" w:rsidRDefault="00D61AB3">
            <w:pPr>
              <w:spacing w:before="120" w:after="120"/>
              <w:jc w:val="center"/>
            </w:pPr>
            <w:r>
              <w:t>Nenhum resultado publicado</w:t>
            </w:r>
          </w:p>
        </w:tc>
      </w:tr>
      <w:tr w:rsidR="008238E6" w14:paraId="4FB5EB72" w14:textId="77777777">
        <w:trPr>
          <w:trHeight w:val="413"/>
          <w:jc w:val="center"/>
        </w:trPr>
        <w:tc>
          <w:tcPr>
            <w:tcW w:w="3756" w:type="dxa"/>
          </w:tcPr>
          <w:p w14:paraId="4FB5EB6D" w14:textId="77777777" w:rsidR="008238E6" w:rsidRDefault="00D61AB3">
            <w:pPr>
              <w:spacing w:before="120" w:after="120"/>
            </w:pPr>
            <w:r>
              <w:t>Search for Biological Markers of Orosensory Perception of Fatty Acids in Healthy Subjects and Possible Modifications in Patients With Type 2 Diabetes and in Obese Non-diabetic Patients.</w:t>
            </w:r>
          </w:p>
          <w:p w14:paraId="4FB5EB6E" w14:textId="77777777" w:rsidR="008238E6" w:rsidRDefault="00D61AB3">
            <w:pPr>
              <w:spacing w:before="120" w:after="120"/>
            </w:pPr>
            <w:r>
              <w:t>NCT02028975</w:t>
            </w:r>
          </w:p>
        </w:tc>
        <w:tc>
          <w:tcPr>
            <w:tcW w:w="5386" w:type="dxa"/>
            <w:gridSpan w:val="2"/>
          </w:tcPr>
          <w:p w14:paraId="4FB5EB6F" w14:textId="77777777" w:rsidR="008238E6" w:rsidRDefault="00D61AB3">
            <w:pPr>
              <w:spacing w:before="120" w:after="120"/>
              <w:jc w:val="center"/>
            </w:pPr>
            <w:r>
              <w:t>Excluído.</w:t>
            </w:r>
          </w:p>
          <w:p w14:paraId="4FB5EB70" w14:textId="77777777" w:rsidR="008238E6" w:rsidRDefault="00D61AB3">
            <w:pPr>
              <w:spacing w:before="120" w:after="120"/>
              <w:jc w:val="center"/>
            </w:pPr>
            <w:r>
              <w:t>População: Diabetes tipo 2</w:t>
            </w:r>
          </w:p>
          <w:p w14:paraId="4FB5EB71" w14:textId="77777777" w:rsidR="008238E6" w:rsidRDefault="00D61AB3">
            <w:pPr>
              <w:spacing w:before="120" w:after="120"/>
              <w:jc w:val="center"/>
            </w:pPr>
            <w:r>
              <w:t>Nenhum resultado publicado</w:t>
            </w:r>
          </w:p>
        </w:tc>
      </w:tr>
      <w:tr w:rsidR="008238E6" w14:paraId="4FB5EB78" w14:textId="77777777">
        <w:trPr>
          <w:trHeight w:val="413"/>
          <w:jc w:val="center"/>
        </w:trPr>
        <w:tc>
          <w:tcPr>
            <w:tcW w:w="3756" w:type="dxa"/>
          </w:tcPr>
          <w:p w14:paraId="4FB5EB73" w14:textId="77777777" w:rsidR="008238E6" w:rsidRDefault="00D61AB3">
            <w:pPr>
              <w:spacing w:before="120" w:after="120"/>
            </w:pPr>
            <w:r>
              <w:t>Pharmacogenomics of Thiazolidinediones (PPAR)</w:t>
            </w:r>
          </w:p>
          <w:p w14:paraId="4FB5EB74" w14:textId="77777777" w:rsidR="008238E6" w:rsidRDefault="00D61AB3">
            <w:pPr>
              <w:spacing w:before="120" w:after="120"/>
            </w:pPr>
            <w:r>
              <w:t>NCT01135394</w:t>
            </w:r>
          </w:p>
        </w:tc>
        <w:tc>
          <w:tcPr>
            <w:tcW w:w="5386" w:type="dxa"/>
            <w:gridSpan w:val="2"/>
          </w:tcPr>
          <w:p w14:paraId="4FB5EB75" w14:textId="77777777" w:rsidR="008238E6" w:rsidRDefault="00D61AB3">
            <w:pPr>
              <w:spacing w:before="120" w:after="120"/>
              <w:jc w:val="center"/>
            </w:pPr>
            <w:r>
              <w:t>Excluído.</w:t>
            </w:r>
          </w:p>
          <w:p w14:paraId="4FB5EB76" w14:textId="77777777" w:rsidR="008238E6" w:rsidRDefault="00D61AB3">
            <w:pPr>
              <w:spacing w:before="120" w:after="120"/>
              <w:jc w:val="center"/>
            </w:pPr>
            <w:r>
              <w:t>Intervenção: Pioglitazona</w:t>
            </w:r>
          </w:p>
          <w:p w14:paraId="4FB5EB77" w14:textId="77777777" w:rsidR="008238E6" w:rsidRDefault="00D61AB3">
            <w:pPr>
              <w:spacing w:before="120" w:after="120"/>
              <w:jc w:val="center"/>
            </w:pPr>
            <w:r>
              <w:t>Nenhum resultado publicado</w:t>
            </w:r>
          </w:p>
        </w:tc>
      </w:tr>
      <w:tr w:rsidR="008238E6" w14:paraId="4FB5EB7E" w14:textId="77777777">
        <w:trPr>
          <w:trHeight w:val="413"/>
          <w:jc w:val="center"/>
        </w:trPr>
        <w:tc>
          <w:tcPr>
            <w:tcW w:w="3756" w:type="dxa"/>
          </w:tcPr>
          <w:p w14:paraId="4FB5EB79" w14:textId="77777777" w:rsidR="008238E6" w:rsidRDefault="00D61AB3">
            <w:pPr>
              <w:spacing w:before="120" w:after="120"/>
            </w:pPr>
            <w:r>
              <w:t>The Influence of Genetic Variations in ELAPOR1 or ELAPOR2 on Insulin Secretion and Glucose Regulation in Humans</w:t>
            </w:r>
          </w:p>
          <w:p w14:paraId="4FB5EB7A" w14:textId="77777777" w:rsidR="008238E6" w:rsidRDefault="00D61AB3">
            <w:pPr>
              <w:spacing w:before="120" w:after="120"/>
            </w:pPr>
            <w:r>
              <w:t>NCT05575206</w:t>
            </w:r>
          </w:p>
        </w:tc>
        <w:tc>
          <w:tcPr>
            <w:tcW w:w="5386" w:type="dxa"/>
            <w:gridSpan w:val="2"/>
          </w:tcPr>
          <w:p w14:paraId="4FB5EB7B" w14:textId="77777777" w:rsidR="008238E6" w:rsidRDefault="00D61AB3">
            <w:pPr>
              <w:spacing w:before="120" w:after="120"/>
              <w:jc w:val="center"/>
            </w:pPr>
            <w:r>
              <w:t>Excluído.</w:t>
            </w:r>
          </w:p>
          <w:p w14:paraId="4FB5EB7C" w14:textId="77777777" w:rsidR="008238E6" w:rsidRDefault="00D61AB3">
            <w:pPr>
              <w:spacing w:before="120" w:after="120"/>
            </w:pPr>
            <w:r>
              <w:t>O desfecho analisado não atende aos critérios estabelecidos na PICO.</w:t>
            </w:r>
          </w:p>
          <w:p w14:paraId="4FB5EB7D" w14:textId="77777777" w:rsidR="008238E6" w:rsidRDefault="00D61AB3">
            <w:pPr>
              <w:spacing w:before="120" w:after="120"/>
              <w:jc w:val="center"/>
            </w:pPr>
            <w:r>
              <w:t>Nenhum resultado publicado</w:t>
            </w:r>
          </w:p>
        </w:tc>
      </w:tr>
      <w:tr w:rsidR="008238E6" w14:paraId="4FB5EB84" w14:textId="77777777">
        <w:trPr>
          <w:trHeight w:val="413"/>
          <w:jc w:val="center"/>
        </w:trPr>
        <w:tc>
          <w:tcPr>
            <w:tcW w:w="3756" w:type="dxa"/>
          </w:tcPr>
          <w:p w14:paraId="4FB5EB7F" w14:textId="77777777" w:rsidR="008238E6" w:rsidRDefault="00D61AB3">
            <w:pPr>
              <w:spacing w:before="120" w:after="120"/>
            </w:pPr>
            <w:r>
              <w:t>Assessing Inherited Markers of Metabolic Syndrome in the Young (AIMMY)</w:t>
            </w:r>
          </w:p>
          <w:p w14:paraId="4FB5EB80" w14:textId="77777777" w:rsidR="008238E6" w:rsidRDefault="00D61AB3">
            <w:pPr>
              <w:spacing w:before="120" w:after="120"/>
            </w:pPr>
            <w:r>
              <w:t>NCT00966407</w:t>
            </w:r>
          </w:p>
        </w:tc>
        <w:tc>
          <w:tcPr>
            <w:tcW w:w="5386" w:type="dxa"/>
            <w:gridSpan w:val="2"/>
          </w:tcPr>
          <w:p w14:paraId="4FB5EB81" w14:textId="77777777" w:rsidR="008238E6" w:rsidRDefault="00D61AB3">
            <w:pPr>
              <w:spacing w:before="120" w:after="120"/>
              <w:jc w:val="center"/>
            </w:pPr>
            <w:r>
              <w:t>Excluído.</w:t>
            </w:r>
          </w:p>
          <w:p w14:paraId="4FB5EB82" w14:textId="77777777" w:rsidR="008238E6" w:rsidRDefault="00D61AB3">
            <w:pPr>
              <w:spacing w:before="120" w:after="120"/>
            </w:pPr>
            <w:r>
              <w:t xml:space="preserve">O desfecho analisado não atende aos critérios estabelecidos na PICO. </w:t>
            </w:r>
          </w:p>
          <w:p w14:paraId="4FB5EB83" w14:textId="77777777" w:rsidR="008238E6" w:rsidRDefault="00D61AB3">
            <w:pPr>
              <w:spacing w:before="120" w:after="120"/>
              <w:jc w:val="center"/>
            </w:pPr>
            <w:r>
              <w:t>Nenhum resultado publicado</w:t>
            </w:r>
          </w:p>
        </w:tc>
      </w:tr>
      <w:tr w:rsidR="008238E6" w14:paraId="4FB5EB8A" w14:textId="77777777">
        <w:trPr>
          <w:trHeight w:val="413"/>
          <w:jc w:val="center"/>
        </w:trPr>
        <w:tc>
          <w:tcPr>
            <w:tcW w:w="3756" w:type="dxa"/>
          </w:tcPr>
          <w:p w14:paraId="4FB5EB85" w14:textId="77777777" w:rsidR="008238E6" w:rsidRDefault="00D61AB3">
            <w:pPr>
              <w:spacing w:before="120" w:after="120"/>
            </w:pPr>
            <w:r>
              <w:t>Effect of Mutations in T2DM Susceptibility Genes on the Expression of Susceptibility Genes in Patients With T2DM and Controls</w:t>
            </w:r>
          </w:p>
          <w:p w14:paraId="4FB5EB86" w14:textId="77777777" w:rsidR="008238E6" w:rsidRDefault="00D61AB3">
            <w:pPr>
              <w:spacing w:before="120" w:after="120"/>
            </w:pPr>
            <w:r>
              <w:t>NCT06277466</w:t>
            </w:r>
          </w:p>
        </w:tc>
        <w:tc>
          <w:tcPr>
            <w:tcW w:w="5386" w:type="dxa"/>
            <w:gridSpan w:val="2"/>
          </w:tcPr>
          <w:p w14:paraId="4FB5EB87" w14:textId="77777777" w:rsidR="008238E6" w:rsidRDefault="00D61AB3">
            <w:pPr>
              <w:spacing w:before="120" w:after="120"/>
              <w:jc w:val="center"/>
            </w:pPr>
            <w:r>
              <w:t>Excluído.</w:t>
            </w:r>
          </w:p>
          <w:p w14:paraId="4FB5EB88" w14:textId="77777777" w:rsidR="008238E6" w:rsidRDefault="00D61AB3">
            <w:pPr>
              <w:spacing w:before="120" w:after="120"/>
            </w:pPr>
            <w:r>
              <w:t>O desfecho analisado não atende aos critérios estabelecidos na PICO.</w:t>
            </w:r>
          </w:p>
          <w:p w14:paraId="4FB5EB89" w14:textId="77777777" w:rsidR="008238E6" w:rsidRDefault="00D61AB3">
            <w:pPr>
              <w:spacing w:before="120" w:after="120"/>
              <w:jc w:val="center"/>
            </w:pPr>
            <w:r>
              <w:t>Nenhum resultado publicado</w:t>
            </w:r>
          </w:p>
        </w:tc>
      </w:tr>
      <w:tr w:rsidR="008238E6" w14:paraId="4FB5EB90" w14:textId="77777777">
        <w:trPr>
          <w:trHeight w:val="413"/>
          <w:jc w:val="center"/>
        </w:trPr>
        <w:tc>
          <w:tcPr>
            <w:tcW w:w="3756" w:type="dxa"/>
          </w:tcPr>
          <w:p w14:paraId="4FB5EB8B" w14:textId="77777777" w:rsidR="008238E6" w:rsidRDefault="00D61AB3">
            <w:pPr>
              <w:spacing w:before="120" w:after="120"/>
            </w:pPr>
            <w:r>
              <w:t>for Adipose Tissue DIabetes VAriants (fATDIVA) (fATDIVA)</w:t>
            </w:r>
          </w:p>
          <w:p w14:paraId="4FB5EB8C" w14:textId="77777777" w:rsidR="008238E6" w:rsidRDefault="00D61AB3">
            <w:pPr>
              <w:spacing w:before="120" w:after="120"/>
            </w:pPr>
            <w:r>
              <w:t>NCT02505321</w:t>
            </w:r>
          </w:p>
        </w:tc>
        <w:tc>
          <w:tcPr>
            <w:tcW w:w="5386" w:type="dxa"/>
            <w:gridSpan w:val="2"/>
          </w:tcPr>
          <w:p w14:paraId="4FB5EB8D" w14:textId="77777777" w:rsidR="008238E6" w:rsidRDefault="00D61AB3">
            <w:pPr>
              <w:spacing w:before="120" w:after="120"/>
              <w:jc w:val="center"/>
            </w:pPr>
            <w:r>
              <w:t>Excluído.</w:t>
            </w:r>
          </w:p>
          <w:p w14:paraId="4FB5EB8E" w14:textId="77777777" w:rsidR="008238E6" w:rsidRDefault="00D61AB3">
            <w:pPr>
              <w:spacing w:before="120" w:after="120"/>
            </w:pPr>
            <w:r>
              <w:t>O desfecho analisado não atende aos critérios estabelecidos na PICO.</w:t>
            </w:r>
          </w:p>
          <w:p w14:paraId="4FB5EB8F" w14:textId="77777777" w:rsidR="008238E6" w:rsidRDefault="00D61AB3">
            <w:pPr>
              <w:spacing w:before="120" w:after="120"/>
              <w:jc w:val="center"/>
            </w:pPr>
            <w:r>
              <w:t>Nenhum resultado publicado</w:t>
            </w:r>
          </w:p>
        </w:tc>
      </w:tr>
      <w:tr w:rsidR="008238E6" w14:paraId="4FB5EB96" w14:textId="77777777">
        <w:trPr>
          <w:trHeight w:val="413"/>
          <w:jc w:val="center"/>
        </w:trPr>
        <w:tc>
          <w:tcPr>
            <w:tcW w:w="3756" w:type="dxa"/>
          </w:tcPr>
          <w:p w14:paraId="4FB5EB91" w14:textId="77777777" w:rsidR="008238E6" w:rsidRDefault="00D61AB3">
            <w:pPr>
              <w:spacing w:before="120" w:after="120"/>
            </w:pPr>
            <w:r>
              <w:t>Safety and Efficacy of AT-001 in Patients With Diabetic Cardiomyopathy</w:t>
            </w:r>
          </w:p>
          <w:p w14:paraId="4FB5EB92" w14:textId="77777777" w:rsidR="008238E6" w:rsidRDefault="00D61AB3">
            <w:pPr>
              <w:spacing w:before="120" w:after="120"/>
            </w:pPr>
            <w:r>
              <w:t>NCT04083339</w:t>
            </w:r>
          </w:p>
        </w:tc>
        <w:tc>
          <w:tcPr>
            <w:tcW w:w="5386" w:type="dxa"/>
            <w:gridSpan w:val="2"/>
          </w:tcPr>
          <w:p w14:paraId="4FB5EB93" w14:textId="77777777" w:rsidR="008238E6" w:rsidRDefault="00D61AB3">
            <w:pPr>
              <w:spacing w:before="120" w:after="120"/>
              <w:jc w:val="center"/>
            </w:pPr>
            <w:r>
              <w:t>Excluído.</w:t>
            </w:r>
          </w:p>
          <w:p w14:paraId="4FB5EB94" w14:textId="77777777" w:rsidR="008238E6" w:rsidRDefault="00D61AB3">
            <w:pPr>
              <w:spacing w:before="120" w:after="120"/>
            </w:pPr>
            <w:r>
              <w:t>O desfecho analisado não atende aos critérios estabelecidos na PICO.</w:t>
            </w:r>
          </w:p>
          <w:p w14:paraId="4FB5EB95" w14:textId="77777777" w:rsidR="008238E6" w:rsidRDefault="00D61AB3">
            <w:pPr>
              <w:spacing w:before="120" w:after="120"/>
              <w:jc w:val="center"/>
            </w:pPr>
            <w:r>
              <w:t>Nenhum resultado publicado</w:t>
            </w:r>
          </w:p>
        </w:tc>
      </w:tr>
    </w:tbl>
    <w:p w14:paraId="4FB5EB97" w14:textId="77777777" w:rsidR="008238E6" w:rsidRDefault="008238E6">
      <w:pPr>
        <w:rPr>
          <w:smallCaps/>
          <w:highlight w:val="cyan"/>
        </w:rPr>
      </w:pPr>
    </w:p>
    <w:tbl>
      <w:tblPr>
        <w:tblStyle w:val="afffffd"/>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B99" w14:textId="77777777">
        <w:trPr>
          <w:trHeight w:val="416"/>
        </w:trPr>
        <w:tc>
          <w:tcPr>
            <w:tcW w:w="9072" w:type="dxa"/>
            <w:shd w:val="clear" w:color="auto" w:fill="D9E2F3"/>
            <w:vAlign w:val="center"/>
          </w:tcPr>
          <w:p w14:paraId="4FB5EB98" w14:textId="77777777" w:rsidR="008238E6" w:rsidRDefault="00D61AB3">
            <w:pPr>
              <w:spacing w:before="120" w:after="120"/>
              <w:jc w:val="center"/>
              <w:rPr>
                <w:b/>
              </w:rPr>
            </w:pPr>
            <w:r>
              <w:rPr>
                <w:b/>
              </w:rPr>
              <w:t>Comentários gerais sobre a lista de estudos em andamento</w:t>
            </w:r>
          </w:p>
        </w:tc>
      </w:tr>
      <w:tr w:rsidR="008238E6" w14:paraId="4FB5EB9B" w14:textId="77777777">
        <w:trPr>
          <w:trHeight w:val="750"/>
        </w:trPr>
        <w:tc>
          <w:tcPr>
            <w:tcW w:w="9072" w:type="dxa"/>
            <w:vAlign w:val="center"/>
          </w:tcPr>
          <w:p w14:paraId="4FB5EB9A" w14:textId="77777777" w:rsidR="008238E6" w:rsidRDefault="00D61AB3">
            <w:pPr>
              <w:spacing w:before="120" w:after="120"/>
            </w:pPr>
            <w:r>
              <w:t xml:space="preserve">O PROPONENTE não apresentou pesquisa sobre estudos em andamento. Os PARECERISTAS realizaram uma busca na plataforma </w:t>
            </w:r>
            <w:r w:rsidRPr="00520A35">
              <w:rPr>
                <w:i/>
                <w:iCs/>
              </w:rPr>
              <w:t>ClinicalTrials</w:t>
            </w:r>
            <w:r>
              <w:t xml:space="preserve"> em 28 de agosto de 2024, utilizando os termos "MODY" AND "</w:t>
            </w:r>
            <w:r w:rsidRPr="00520A35">
              <w:rPr>
                <w:i/>
                <w:iCs/>
              </w:rPr>
              <w:t>genetic test</w:t>
            </w:r>
            <w:r>
              <w:t>", o que resultou em 26 estudos. Nenhum dos estudos em andamento atendeu aos critérios estabelecidos na PICO, seja em relação à população, à intervenção ou aos desfechos analisados.</w:t>
            </w:r>
          </w:p>
        </w:tc>
      </w:tr>
    </w:tbl>
    <w:p w14:paraId="4FB5EB9C" w14:textId="77777777" w:rsidR="008238E6" w:rsidRDefault="008238E6"/>
    <w:p w14:paraId="4FB5EB9D" w14:textId="77777777" w:rsidR="008238E6" w:rsidRDefault="00D61AB3">
      <w:pPr>
        <w:pStyle w:val="Heading2"/>
      </w:pPr>
      <w:bookmarkStart w:id="35" w:name="_heading=h.1v1yuxt" w:colFirst="0" w:colLast="0"/>
      <w:bookmarkEnd w:id="35"/>
      <w:r>
        <w:t>5.5. Resultados</w:t>
      </w:r>
    </w:p>
    <w:p w14:paraId="4FB5EB9E" w14:textId="77777777" w:rsidR="008238E6" w:rsidRDefault="00D61AB3">
      <w:pPr>
        <w:spacing w:line="240" w:lineRule="auto"/>
        <w:rPr>
          <w:b/>
        </w:rPr>
      </w:pPr>
      <w:r>
        <w:rPr>
          <w:b/>
          <w:sz w:val="24"/>
          <w:szCs w:val="24"/>
        </w:rPr>
        <w:t>5.5.1 Características dos estudos incluídos</w:t>
      </w:r>
    </w:p>
    <w:p w14:paraId="4FB5EB9F" w14:textId="77777777" w:rsidR="008238E6" w:rsidRDefault="00D61AB3">
      <w:pPr>
        <w:pStyle w:val="Heading4"/>
        <w:spacing w:before="0" w:after="160" w:line="259" w:lineRule="auto"/>
      </w:pPr>
      <w:bookmarkStart w:id="36" w:name="_heading=h.l45xs17kwchx" w:colFirst="0" w:colLast="0"/>
      <w:bookmarkEnd w:id="36"/>
      <w:r>
        <w:rPr>
          <w:b/>
        </w:rPr>
        <w:t>Quadro 11.</w:t>
      </w:r>
      <w:r>
        <w:t xml:space="preserve"> Características dos estudos incluídos apresentada pelo PROPONENTE.</w:t>
      </w:r>
    </w:p>
    <w:p w14:paraId="4FB5EBA0" w14:textId="77777777" w:rsidR="008238E6" w:rsidRDefault="00D61AB3">
      <w:pPr>
        <w:rPr>
          <w:smallCaps/>
        </w:rPr>
      </w:pPr>
      <w:r>
        <w:rPr>
          <w:smallCaps/>
          <w:noProof/>
        </w:rPr>
        <w:drawing>
          <wp:inline distT="114300" distB="114300" distL="114300" distR="114300" wp14:anchorId="4FB5F353" wp14:editId="4FB5F354">
            <wp:extent cx="6139676" cy="3164005"/>
            <wp:effectExtent l="0" t="0" r="0" b="0"/>
            <wp:docPr id="6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1"/>
                    <a:srcRect/>
                    <a:stretch>
                      <a:fillRect/>
                    </a:stretch>
                  </pic:blipFill>
                  <pic:spPr>
                    <a:xfrm>
                      <a:off x="0" y="0"/>
                      <a:ext cx="6139676" cy="3164005"/>
                    </a:xfrm>
                    <a:prstGeom prst="rect">
                      <a:avLst/>
                    </a:prstGeom>
                    <a:ln/>
                  </pic:spPr>
                </pic:pic>
              </a:graphicData>
            </a:graphic>
          </wp:inline>
        </w:drawing>
      </w:r>
    </w:p>
    <w:p w14:paraId="4FB5EBA1" w14:textId="77777777" w:rsidR="008238E6" w:rsidRDefault="00D61AB3">
      <w:pPr>
        <w:pStyle w:val="Heading4"/>
        <w:spacing w:before="0" w:after="160" w:line="259" w:lineRule="auto"/>
      </w:pPr>
      <w:bookmarkStart w:id="37" w:name="_heading=h.l5rf39m0pfd9" w:colFirst="0" w:colLast="0"/>
      <w:bookmarkEnd w:id="37"/>
      <w:r>
        <w:rPr>
          <w:b/>
        </w:rPr>
        <w:t>Quadro 12.</w:t>
      </w:r>
      <w:r>
        <w:t xml:space="preserve"> Características dos estudos incluídos na análise do PARECERISTA.</w:t>
      </w:r>
    </w:p>
    <w:tbl>
      <w:tblPr>
        <w:tblStyle w:val="afffffe"/>
        <w:tblW w:w="10935" w:type="dxa"/>
        <w:tblInd w:w="-82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70"/>
        <w:gridCol w:w="885"/>
        <w:gridCol w:w="1275"/>
        <w:gridCol w:w="1350"/>
        <w:gridCol w:w="1125"/>
        <w:gridCol w:w="1320"/>
        <w:gridCol w:w="1485"/>
        <w:gridCol w:w="2325"/>
      </w:tblGrid>
      <w:tr w:rsidR="008238E6" w14:paraId="4FB5EBAA" w14:textId="77777777">
        <w:tc>
          <w:tcPr>
            <w:tcW w:w="1170" w:type="dxa"/>
          </w:tcPr>
          <w:p w14:paraId="4FB5EBA2" w14:textId="77777777" w:rsidR="008238E6" w:rsidRDefault="00D61AB3">
            <w:pPr>
              <w:spacing w:before="120" w:after="120"/>
              <w:jc w:val="center"/>
              <w:rPr>
                <w:b/>
                <w:sz w:val="20"/>
                <w:szCs w:val="20"/>
              </w:rPr>
            </w:pPr>
            <w:r>
              <w:rPr>
                <w:b/>
                <w:sz w:val="20"/>
                <w:szCs w:val="20"/>
              </w:rPr>
              <w:t>Estudo (Autor, ano)</w:t>
            </w:r>
          </w:p>
        </w:tc>
        <w:tc>
          <w:tcPr>
            <w:tcW w:w="885" w:type="dxa"/>
          </w:tcPr>
          <w:p w14:paraId="4FB5EBA3" w14:textId="77777777" w:rsidR="008238E6" w:rsidRDefault="00D61AB3">
            <w:pPr>
              <w:spacing w:before="120" w:after="120"/>
              <w:jc w:val="center"/>
              <w:rPr>
                <w:b/>
                <w:sz w:val="20"/>
                <w:szCs w:val="20"/>
              </w:rPr>
            </w:pPr>
            <w:r>
              <w:rPr>
                <w:b/>
                <w:sz w:val="20"/>
                <w:szCs w:val="20"/>
              </w:rPr>
              <w:t>Pais, cenário</w:t>
            </w:r>
          </w:p>
        </w:tc>
        <w:tc>
          <w:tcPr>
            <w:tcW w:w="1275" w:type="dxa"/>
          </w:tcPr>
          <w:p w14:paraId="4FB5EBA4" w14:textId="77777777" w:rsidR="008238E6" w:rsidRDefault="00D61AB3">
            <w:pPr>
              <w:spacing w:before="120" w:after="120"/>
              <w:jc w:val="center"/>
              <w:rPr>
                <w:b/>
                <w:sz w:val="20"/>
                <w:szCs w:val="20"/>
              </w:rPr>
            </w:pPr>
            <w:r>
              <w:rPr>
                <w:b/>
                <w:sz w:val="20"/>
                <w:szCs w:val="20"/>
              </w:rPr>
              <w:t>Desenho</w:t>
            </w:r>
          </w:p>
        </w:tc>
        <w:tc>
          <w:tcPr>
            <w:tcW w:w="1350" w:type="dxa"/>
          </w:tcPr>
          <w:p w14:paraId="4FB5EBA5" w14:textId="77777777" w:rsidR="008238E6" w:rsidRDefault="00D61AB3">
            <w:pPr>
              <w:spacing w:before="120" w:after="120"/>
              <w:jc w:val="center"/>
              <w:rPr>
                <w:b/>
                <w:sz w:val="20"/>
                <w:szCs w:val="20"/>
              </w:rPr>
            </w:pPr>
            <w:r>
              <w:rPr>
                <w:b/>
                <w:sz w:val="20"/>
                <w:szCs w:val="20"/>
              </w:rPr>
              <w:t>População (n)</w:t>
            </w:r>
          </w:p>
        </w:tc>
        <w:tc>
          <w:tcPr>
            <w:tcW w:w="1125" w:type="dxa"/>
          </w:tcPr>
          <w:p w14:paraId="4FB5EBA6" w14:textId="77777777" w:rsidR="008238E6" w:rsidRDefault="00D61AB3">
            <w:pPr>
              <w:spacing w:before="120" w:after="120"/>
              <w:jc w:val="center"/>
              <w:rPr>
                <w:b/>
                <w:sz w:val="20"/>
                <w:szCs w:val="20"/>
              </w:rPr>
            </w:pPr>
            <w:r>
              <w:rPr>
                <w:b/>
                <w:sz w:val="20"/>
                <w:szCs w:val="20"/>
              </w:rPr>
              <w:t>Intervenção</w:t>
            </w:r>
          </w:p>
        </w:tc>
        <w:tc>
          <w:tcPr>
            <w:tcW w:w="1320" w:type="dxa"/>
          </w:tcPr>
          <w:p w14:paraId="4FB5EBA7" w14:textId="77777777" w:rsidR="008238E6" w:rsidRDefault="00D61AB3">
            <w:pPr>
              <w:spacing w:before="120" w:after="120"/>
              <w:jc w:val="center"/>
              <w:rPr>
                <w:b/>
                <w:sz w:val="20"/>
                <w:szCs w:val="20"/>
              </w:rPr>
            </w:pPr>
            <w:r>
              <w:rPr>
                <w:b/>
                <w:sz w:val="20"/>
                <w:szCs w:val="20"/>
              </w:rPr>
              <w:t>Comparador</w:t>
            </w:r>
          </w:p>
        </w:tc>
        <w:tc>
          <w:tcPr>
            <w:tcW w:w="1485" w:type="dxa"/>
          </w:tcPr>
          <w:p w14:paraId="4FB5EBA8" w14:textId="77777777" w:rsidR="008238E6" w:rsidRDefault="00D61AB3">
            <w:pPr>
              <w:spacing w:before="120" w:after="120"/>
              <w:jc w:val="center"/>
              <w:rPr>
                <w:b/>
                <w:sz w:val="20"/>
                <w:szCs w:val="20"/>
              </w:rPr>
            </w:pPr>
            <w:r>
              <w:rPr>
                <w:b/>
                <w:sz w:val="20"/>
                <w:szCs w:val="20"/>
              </w:rPr>
              <w:t xml:space="preserve">Desfechos e </w:t>
            </w:r>
            <w:r>
              <w:rPr>
                <w:b/>
                <w:i/>
                <w:sz w:val="20"/>
                <w:szCs w:val="20"/>
              </w:rPr>
              <w:t>time point</w:t>
            </w:r>
            <w:r>
              <w:rPr>
                <w:b/>
                <w:sz w:val="20"/>
                <w:szCs w:val="20"/>
              </w:rPr>
              <w:t xml:space="preserve"> de avaliação</w:t>
            </w:r>
          </w:p>
        </w:tc>
        <w:tc>
          <w:tcPr>
            <w:tcW w:w="2325" w:type="dxa"/>
          </w:tcPr>
          <w:p w14:paraId="4FB5EBA9" w14:textId="77777777" w:rsidR="008238E6" w:rsidRDefault="00D61AB3">
            <w:pPr>
              <w:spacing w:before="120" w:after="120"/>
              <w:jc w:val="center"/>
              <w:rPr>
                <w:b/>
                <w:sz w:val="20"/>
                <w:szCs w:val="20"/>
              </w:rPr>
            </w:pPr>
            <w:r>
              <w:rPr>
                <w:b/>
                <w:sz w:val="20"/>
                <w:szCs w:val="20"/>
              </w:rPr>
              <w:t>Financiamento</w:t>
            </w:r>
          </w:p>
        </w:tc>
      </w:tr>
      <w:tr w:rsidR="008238E6" w14:paraId="4FB5EBB4" w14:textId="77777777">
        <w:trPr>
          <w:trHeight w:val="2113"/>
        </w:trPr>
        <w:tc>
          <w:tcPr>
            <w:tcW w:w="1170" w:type="dxa"/>
          </w:tcPr>
          <w:p w14:paraId="4FB5EBAB" w14:textId="77777777" w:rsidR="008238E6" w:rsidRDefault="00D61AB3">
            <w:pPr>
              <w:spacing w:before="120" w:after="120"/>
              <w:jc w:val="center"/>
              <w:rPr>
                <w:sz w:val="20"/>
                <w:szCs w:val="20"/>
              </w:rPr>
            </w:pPr>
            <w:r>
              <w:rPr>
                <w:sz w:val="20"/>
                <w:szCs w:val="20"/>
              </w:rPr>
              <w:t>Shepherd, 2018 (8)</w:t>
            </w:r>
          </w:p>
        </w:tc>
        <w:tc>
          <w:tcPr>
            <w:tcW w:w="885" w:type="dxa"/>
          </w:tcPr>
          <w:p w14:paraId="4FB5EBAC" w14:textId="77777777" w:rsidR="008238E6" w:rsidRDefault="00D61AB3">
            <w:pPr>
              <w:spacing w:before="120" w:after="120"/>
              <w:jc w:val="center"/>
              <w:rPr>
                <w:sz w:val="20"/>
                <w:szCs w:val="20"/>
              </w:rPr>
            </w:pPr>
            <w:r>
              <w:rPr>
                <w:sz w:val="20"/>
                <w:szCs w:val="20"/>
              </w:rPr>
              <w:t>Reino Unido</w:t>
            </w:r>
          </w:p>
        </w:tc>
        <w:tc>
          <w:tcPr>
            <w:tcW w:w="1275" w:type="dxa"/>
          </w:tcPr>
          <w:p w14:paraId="4FB5EBAD" w14:textId="77777777" w:rsidR="008238E6" w:rsidRDefault="00D61AB3">
            <w:pPr>
              <w:spacing w:before="120" w:after="120"/>
              <w:jc w:val="center"/>
              <w:rPr>
                <w:sz w:val="20"/>
                <w:szCs w:val="20"/>
              </w:rPr>
            </w:pPr>
            <w:r>
              <w:rPr>
                <w:sz w:val="20"/>
                <w:szCs w:val="20"/>
              </w:rPr>
              <w:t>Estudo observacional prospectivo</w:t>
            </w:r>
          </w:p>
        </w:tc>
        <w:tc>
          <w:tcPr>
            <w:tcW w:w="1350" w:type="dxa"/>
          </w:tcPr>
          <w:p w14:paraId="4FB5EBAE" w14:textId="77777777" w:rsidR="008238E6" w:rsidRDefault="00D61AB3">
            <w:pPr>
              <w:spacing w:before="120" w:after="120"/>
              <w:rPr>
                <w:sz w:val="20"/>
                <w:szCs w:val="20"/>
              </w:rPr>
            </w:pPr>
            <w:r>
              <w:rPr>
                <w:sz w:val="20"/>
                <w:szCs w:val="20"/>
              </w:rPr>
              <w:t>Pacientes com suspeita de |e diagnóstico genético confirmado com GCK -, HNF1A - ou HNF4A -MODY</w:t>
            </w:r>
          </w:p>
          <w:p w14:paraId="4FB5EBAF" w14:textId="77777777" w:rsidR="008238E6" w:rsidRDefault="00D61AB3">
            <w:pPr>
              <w:spacing w:before="120" w:after="120"/>
              <w:rPr>
                <w:sz w:val="20"/>
                <w:szCs w:val="20"/>
              </w:rPr>
            </w:pPr>
            <w:r>
              <w:rPr>
                <w:sz w:val="20"/>
                <w:szCs w:val="20"/>
              </w:rPr>
              <w:t>(n=61)</w:t>
            </w:r>
          </w:p>
        </w:tc>
        <w:tc>
          <w:tcPr>
            <w:tcW w:w="1125" w:type="dxa"/>
          </w:tcPr>
          <w:p w14:paraId="4FB5EBB0" w14:textId="77777777" w:rsidR="008238E6" w:rsidRDefault="00D61AB3">
            <w:pPr>
              <w:spacing w:before="120" w:after="120"/>
              <w:jc w:val="center"/>
              <w:rPr>
                <w:sz w:val="20"/>
                <w:szCs w:val="20"/>
              </w:rPr>
            </w:pPr>
            <w:r>
              <w:rPr>
                <w:sz w:val="20"/>
                <w:szCs w:val="20"/>
              </w:rPr>
              <w:t>Teste genético para MODY</w:t>
            </w:r>
          </w:p>
        </w:tc>
        <w:tc>
          <w:tcPr>
            <w:tcW w:w="1320" w:type="dxa"/>
          </w:tcPr>
          <w:p w14:paraId="4FB5EBB1" w14:textId="77777777" w:rsidR="008238E6" w:rsidRDefault="00D61AB3">
            <w:pPr>
              <w:spacing w:before="120" w:after="120"/>
              <w:jc w:val="center"/>
              <w:rPr>
                <w:sz w:val="20"/>
                <w:szCs w:val="20"/>
              </w:rPr>
            </w:pPr>
            <w:r>
              <w:rPr>
                <w:sz w:val="20"/>
                <w:szCs w:val="20"/>
              </w:rPr>
              <w:t>Antes do diagnóstico com teste genético MODY</w:t>
            </w:r>
          </w:p>
        </w:tc>
        <w:tc>
          <w:tcPr>
            <w:tcW w:w="1485" w:type="dxa"/>
          </w:tcPr>
          <w:p w14:paraId="4FB5EBB2" w14:textId="77777777" w:rsidR="008238E6" w:rsidRDefault="00D61AB3">
            <w:pPr>
              <w:spacing w:before="120" w:after="120"/>
              <w:rPr>
                <w:i/>
                <w:color w:val="FF0000"/>
                <w:sz w:val="20"/>
                <w:szCs w:val="20"/>
              </w:rPr>
            </w:pPr>
            <w:r>
              <w:rPr>
                <w:sz w:val="20"/>
                <w:szCs w:val="20"/>
              </w:rPr>
              <w:t>Mudança de tratamento após um diagnóstico genético em 2 anos</w:t>
            </w:r>
          </w:p>
        </w:tc>
        <w:tc>
          <w:tcPr>
            <w:tcW w:w="2325" w:type="dxa"/>
          </w:tcPr>
          <w:p w14:paraId="4FB5EBB3" w14:textId="77777777" w:rsidR="008238E6" w:rsidRDefault="00D61AB3">
            <w:pPr>
              <w:spacing w:before="120" w:after="120"/>
              <w:rPr>
                <w:sz w:val="20"/>
                <w:szCs w:val="20"/>
              </w:rPr>
            </w:pPr>
            <w:r>
              <w:rPr>
                <w:sz w:val="20"/>
                <w:szCs w:val="20"/>
              </w:rPr>
              <w:t>Pesquisa independente encomendada pelo Health Innovation Challenge Fund (número de concessão HICF-1009-041), uma parceria de financiamento paralelo entre o Wellcome Trust e o Department of Health</w:t>
            </w:r>
          </w:p>
        </w:tc>
      </w:tr>
      <w:tr w:rsidR="008238E6" w14:paraId="4FB5EBBF" w14:textId="77777777">
        <w:trPr>
          <w:trHeight w:val="2113"/>
        </w:trPr>
        <w:tc>
          <w:tcPr>
            <w:tcW w:w="1170" w:type="dxa"/>
          </w:tcPr>
          <w:p w14:paraId="4FB5EBB5" w14:textId="77777777" w:rsidR="008238E6" w:rsidRDefault="00D61AB3">
            <w:pPr>
              <w:spacing w:before="120" w:after="120"/>
              <w:jc w:val="center"/>
              <w:rPr>
                <w:sz w:val="20"/>
                <w:szCs w:val="20"/>
              </w:rPr>
            </w:pPr>
            <w:r>
              <w:rPr>
                <w:sz w:val="20"/>
                <w:szCs w:val="20"/>
              </w:rPr>
              <w:t>Shepherd, 2009 (9)</w:t>
            </w:r>
          </w:p>
        </w:tc>
        <w:tc>
          <w:tcPr>
            <w:tcW w:w="885" w:type="dxa"/>
          </w:tcPr>
          <w:p w14:paraId="4FB5EBB6" w14:textId="77777777" w:rsidR="008238E6" w:rsidRDefault="00D61AB3">
            <w:pPr>
              <w:spacing w:before="120" w:after="120"/>
              <w:jc w:val="center"/>
              <w:rPr>
                <w:sz w:val="20"/>
                <w:szCs w:val="20"/>
              </w:rPr>
            </w:pPr>
            <w:r>
              <w:rPr>
                <w:sz w:val="20"/>
                <w:szCs w:val="20"/>
              </w:rPr>
              <w:t>Reino Unido</w:t>
            </w:r>
          </w:p>
        </w:tc>
        <w:tc>
          <w:tcPr>
            <w:tcW w:w="1275" w:type="dxa"/>
          </w:tcPr>
          <w:p w14:paraId="4FB5EBB7" w14:textId="77777777" w:rsidR="008238E6" w:rsidRDefault="00D61AB3">
            <w:pPr>
              <w:spacing w:before="120" w:after="120"/>
              <w:jc w:val="center"/>
              <w:rPr>
                <w:sz w:val="20"/>
                <w:szCs w:val="20"/>
              </w:rPr>
            </w:pPr>
            <w:r>
              <w:rPr>
                <w:sz w:val="20"/>
                <w:szCs w:val="20"/>
              </w:rPr>
              <w:t>Estudo observacional prospectivo</w:t>
            </w:r>
          </w:p>
        </w:tc>
        <w:tc>
          <w:tcPr>
            <w:tcW w:w="1350" w:type="dxa"/>
          </w:tcPr>
          <w:p w14:paraId="4FB5EBB8" w14:textId="77777777" w:rsidR="008238E6" w:rsidRDefault="00D61AB3">
            <w:pPr>
              <w:spacing w:before="120" w:after="120"/>
              <w:rPr>
                <w:sz w:val="20"/>
                <w:szCs w:val="20"/>
              </w:rPr>
            </w:pPr>
            <w:r>
              <w:rPr>
                <w:sz w:val="20"/>
                <w:szCs w:val="20"/>
              </w:rPr>
              <w:t>Pacientes com suspeita diabetes HNF1A e confirmado por teste genético (n=43)</w:t>
            </w:r>
          </w:p>
        </w:tc>
        <w:tc>
          <w:tcPr>
            <w:tcW w:w="1125" w:type="dxa"/>
          </w:tcPr>
          <w:p w14:paraId="4FB5EBB9" w14:textId="77777777" w:rsidR="008238E6" w:rsidRDefault="00D61AB3">
            <w:pPr>
              <w:spacing w:before="120" w:after="120"/>
              <w:jc w:val="center"/>
              <w:rPr>
                <w:sz w:val="20"/>
                <w:szCs w:val="20"/>
              </w:rPr>
            </w:pPr>
            <w:r>
              <w:rPr>
                <w:sz w:val="20"/>
                <w:szCs w:val="20"/>
              </w:rPr>
              <w:t>Teste genético para MODY</w:t>
            </w:r>
          </w:p>
        </w:tc>
        <w:tc>
          <w:tcPr>
            <w:tcW w:w="1320" w:type="dxa"/>
          </w:tcPr>
          <w:p w14:paraId="4FB5EBBA" w14:textId="77777777" w:rsidR="008238E6" w:rsidRDefault="00D61AB3">
            <w:pPr>
              <w:spacing w:before="120" w:after="120"/>
              <w:jc w:val="center"/>
              <w:rPr>
                <w:sz w:val="20"/>
                <w:szCs w:val="20"/>
              </w:rPr>
            </w:pPr>
            <w:r>
              <w:rPr>
                <w:sz w:val="20"/>
                <w:szCs w:val="20"/>
              </w:rPr>
              <w:t>Antes do diagnóstico com teste genético MODY</w:t>
            </w:r>
          </w:p>
        </w:tc>
        <w:tc>
          <w:tcPr>
            <w:tcW w:w="1485" w:type="dxa"/>
          </w:tcPr>
          <w:p w14:paraId="4FB5EBBB" w14:textId="77777777" w:rsidR="008238E6" w:rsidRDefault="00D61AB3">
            <w:pPr>
              <w:spacing w:before="120" w:after="120"/>
              <w:rPr>
                <w:sz w:val="20"/>
                <w:szCs w:val="20"/>
              </w:rPr>
            </w:pPr>
            <w:r>
              <w:rPr>
                <w:sz w:val="20"/>
                <w:szCs w:val="20"/>
              </w:rPr>
              <w:t>Mudança no tratamento de insulina para sulfonilureia;</w:t>
            </w:r>
          </w:p>
          <w:p w14:paraId="4FB5EBBC" w14:textId="77777777" w:rsidR="008238E6" w:rsidRDefault="00D61AB3">
            <w:pPr>
              <w:spacing w:before="120" w:after="120"/>
              <w:rPr>
                <w:sz w:val="20"/>
                <w:szCs w:val="20"/>
              </w:rPr>
            </w:pPr>
            <w:r>
              <w:rPr>
                <w:sz w:val="20"/>
                <w:szCs w:val="20"/>
              </w:rPr>
              <w:t>Impacto da mudança no controle glicêmico</w:t>
            </w:r>
          </w:p>
        </w:tc>
        <w:tc>
          <w:tcPr>
            <w:tcW w:w="2325" w:type="dxa"/>
          </w:tcPr>
          <w:p w14:paraId="4FB5EBBD" w14:textId="77777777" w:rsidR="008238E6" w:rsidRDefault="00D61AB3">
            <w:pPr>
              <w:spacing w:before="120" w:after="120"/>
              <w:rPr>
                <w:sz w:val="20"/>
                <w:szCs w:val="20"/>
              </w:rPr>
            </w:pPr>
            <w:r>
              <w:rPr>
                <w:sz w:val="20"/>
                <w:szCs w:val="20"/>
              </w:rPr>
              <w:t>Bolsa DH do Instituto Nacional de Pesquisa em Saúde e pelo Centro de Pesquisa Clínica Península NIHR</w:t>
            </w:r>
          </w:p>
          <w:p w14:paraId="4FB5EBBE" w14:textId="77777777" w:rsidR="008238E6" w:rsidRDefault="008238E6">
            <w:pPr>
              <w:spacing w:before="120" w:after="120"/>
              <w:rPr>
                <w:sz w:val="20"/>
                <w:szCs w:val="20"/>
              </w:rPr>
            </w:pPr>
          </w:p>
        </w:tc>
      </w:tr>
    </w:tbl>
    <w:p w14:paraId="4FB5EBC0" w14:textId="7ABAF72D" w:rsidR="008238E6" w:rsidRDefault="00D61AB3">
      <w:pPr>
        <w:spacing w:before="120" w:after="120" w:line="240" w:lineRule="auto"/>
        <w:jc w:val="center"/>
        <w:rPr>
          <w:i/>
          <w:sz w:val="20"/>
          <w:szCs w:val="20"/>
        </w:rPr>
      </w:pPr>
      <w:r>
        <w:rPr>
          <w:i/>
          <w:sz w:val="20"/>
          <w:szCs w:val="20"/>
        </w:rPr>
        <w:t>MODY: Maturity Onset Diabetes of the Young; GCK: gene GCK codifica a enzima glucocinase; HNF1A: gene que codifica uma proteína que é um fator de transcrição</w:t>
      </w:r>
    </w:p>
    <w:p w14:paraId="4FB5EBC1" w14:textId="77777777" w:rsidR="008238E6" w:rsidRDefault="008238E6">
      <w:pPr>
        <w:rPr>
          <w:smallCaps/>
          <w:highlight w:val="cyan"/>
        </w:rPr>
      </w:pPr>
    </w:p>
    <w:tbl>
      <w:tblPr>
        <w:tblStyle w:val="affffff"/>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BC3" w14:textId="77777777" w:rsidTr="1187E3E5">
        <w:trPr>
          <w:trHeight w:val="416"/>
        </w:trPr>
        <w:tc>
          <w:tcPr>
            <w:tcW w:w="9072" w:type="dxa"/>
            <w:shd w:val="clear" w:color="auto" w:fill="D9E2F3"/>
            <w:vAlign w:val="center"/>
          </w:tcPr>
          <w:p w14:paraId="4FB5EBC2" w14:textId="77777777" w:rsidR="008238E6" w:rsidRDefault="00D61AB3">
            <w:pPr>
              <w:spacing w:before="120" w:after="120"/>
              <w:jc w:val="center"/>
              <w:rPr>
                <w:b/>
              </w:rPr>
            </w:pPr>
            <w:r>
              <w:rPr>
                <w:b/>
              </w:rPr>
              <w:t>Comentários gerais sobre o quadro de características dos estudos incluídos</w:t>
            </w:r>
          </w:p>
        </w:tc>
      </w:tr>
      <w:tr w:rsidR="008238E6" w14:paraId="4FB5EBCA" w14:textId="77777777" w:rsidTr="1187E3E5">
        <w:trPr>
          <w:trHeight w:val="750"/>
        </w:trPr>
        <w:tc>
          <w:tcPr>
            <w:tcW w:w="9072" w:type="dxa"/>
            <w:vAlign w:val="center"/>
          </w:tcPr>
          <w:p w14:paraId="4FB5EBC4" w14:textId="77777777" w:rsidR="008238E6" w:rsidRDefault="00D61AB3">
            <w:pPr>
              <w:spacing w:before="120" w:after="120"/>
            </w:pPr>
            <w:r>
              <w:t>O PROPONENTE incluiu uma variedade de estudos, a maioria deles com fragilidades, dado que consistem em relatos de casos. No total, foram considerados 12 relatos de casos, cinco estudos de coorte, um ensaio clínico e uma revisão.</w:t>
            </w:r>
          </w:p>
          <w:p w14:paraId="4FB5EBC5" w14:textId="01844B1E" w:rsidR="008238E6" w:rsidRDefault="00D61AB3">
            <w:pPr>
              <w:spacing w:before="120" w:after="120"/>
            </w:pPr>
            <w:r>
              <w:t>Entre as coortes incluídas pelo PROPONENTE, uma era retrospectiva (Campos Franco, 2022) (10). O estudo de Li (2018)</w:t>
            </w:r>
            <w:r w:rsidR="00DC6946">
              <w:t xml:space="preserve"> </w:t>
            </w:r>
            <w:r>
              <w:t>(11) tinha como objetivo avaliar as características clínicas e genéticas do diabetes de início de maturidade de glucoquinase do jovem (GCK-MODY) na China. No entanto, este estudo apresentava uma coorte reduzida, composta por apenas 9 pacientes, e relatava um caso de diagnóstico incorreto de diabetes mellitus neonatal. Após a confirmação do diagnóstico genético, houve uma alteração na terapia medicamentosa, com a interrupção do uso de glibenclamida oral. O estudo realizado por Reilly (2019) (12) visava a examinar as características fenotípicas de indivíduos diagnosticados com diabetes de início na maturidade (MODY) ABCC8 e avaliar sua resposta à terapia com sulfonilureia. Esses pacientes já haviam sido diagnosticados com MODY 12 em um estudo anterior intitulado "Mater MODY", e os resultados foram apresentados após o teste genético, que levou à mudança na terapia medicamentosa de 10 pacientes.</w:t>
            </w:r>
          </w:p>
          <w:p w14:paraId="4FB5EBC6" w14:textId="77777777" w:rsidR="008238E6" w:rsidRDefault="00D61AB3" w:rsidP="1187E3E5">
            <w:pPr>
              <w:spacing w:before="120" w:after="120"/>
              <w:rPr>
                <w:highlight w:val="yellow"/>
              </w:rPr>
            </w:pPr>
            <w:r w:rsidRPr="1187E3E5">
              <w:rPr>
                <w:highlight w:val="yellow"/>
              </w:rPr>
              <w:t>Dessa forma, os PARECERISTAS não incluíram esses estudos por não atenderem aos critérios estabelecidos na PICO, devido à população (pacientes já diagnosticados), ao delineamento (estudo retrospectivo) e aos desfechos (caracterização clínica e genética).</w:t>
            </w:r>
          </w:p>
          <w:p w14:paraId="4FB5EBC7" w14:textId="77777777" w:rsidR="008238E6" w:rsidRDefault="00D61AB3">
            <w:pPr>
              <w:spacing w:before="120" w:after="120"/>
            </w:pPr>
            <w:r>
              <w:t>O PROPONENTE também incluiu um ensaio clínico randomizado (Pearson et al., 2003) (13) cujo objetivo foi verificar se a resposta glicêmica à sulfonilureia gliclazida e à biguanida metformina diferia entre diabetes tipo MODY HNF-1α e diabetes tipo 2, além de investigar os mecanismos subjacentes a essas diferenças na sensibilidade à sulfonilureia. O foco do estudo não era a mudança da conduta relacionada à inserção do teste genético, mas sim a avaliação das diferenças nas respostas à terapia medicamentosa entre os pacientes. O ensaio randomizado envolveu um cruzamento entre gliclazida e metformina em 36 pacientes, com diabetes causado por mutações HNF-1α ou diabetes tipo 2. Também não houve comparação com o diabetes tipo 1, que costuma trazer mais dificuldades diagnósticas em relação ao tipo MODY. Assim, os PARECERISTAS também não incluíram este estudo por não atender aos critérios estabelecidos na PICO.</w:t>
            </w:r>
          </w:p>
          <w:p w14:paraId="4FB5EBC8" w14:textId="77777777" w:rsidR="008238E6" w:rsidRDefault="00D61AB3">
            <w:pPr>
              <w:spacing w:before="120" w:after="120"/>
            </w:pPr>
            <w:r>
              <w:t xml:space="preserve">Na análise, os PARECERISTAS incluíram duas coortes prospectivas (Shepherd, 2009 (9) e Shepherd, 2018 (8)) que investigaram as mudanças no tratamento farmacológico em pacientes com suspeita de diabetes tipo MODY, que tiveram a confirmação diagnóstica através de teste genético. No entanto, esses estudos não apresentaram comparadores diretos, já que as coortes não foram analisadas em paralelo com o diagnóstico clínico. </w:t>
            </w:r>
          </w:p>
          <w:p w14:paraId="4FB5EBC9" w14:textId="77777777" w:rsidR="008238E6" w:rsidRDefault="00D61AB3">
            <w:pPr>
              <w:spacing w:before="120" w:after="120"/>
            </w:pPr>
            <w:r>
              <w:t>Não foram encontrados estudos de comparação direta que apresentassem resultados sobre os desfechos clínicos associados à mudança de conduta terapêutica em pacientes com estratégia de diagnóstico clínico e estratégia de diagnóstico por teste genético.</w:t>
            </w:r>
          </w:p>
        </w:tc>
      </w:tr>
    </w:tbl>
    <w:p w14:paraId="2A85CC93" w14:textId="77777777" w:rsidR="00DE6779" w:rsidRDefault="00DE6779">
      <w:pPr>
        <w:spacing w:line="240" w:lineRule="auto"/>
        <w:rPr>
          <w:smallCaps/>
          <w:highlight w:val="cyan"/>
        </w:rPr>
      </w:pPr>
    </w:p>
    <w:p w14:paraId="4FB5EBCC" w14:textId="77777777" w:rsidR="008238E6" w:rsidRDefault="00D61AB3">
      <w:pPr>
        <w:spacing w:line="240" w:lineRule="auto"/>
        <w:rPr>
          <w:b/>
        </w:rPr>
      </w:pPr>
      <w:r>
        <w:rPr>
          <w:b/>
          <w:sz w:val="24"/>
          <w:szCs w:val="24"/>
        </w:rPr>
        <w:t>5.5.2 Resultados dos estudos incluídos</w:t>
      </w:r>
    </w:p>
    <w:p w14:paraId="4FB5EBCD" w14:textId="77777777" w:rsidR="008238E6" w:rsidRDefault="00D61AB3">
      <w:pPr>
        <w:pStyle w:val="Heading4"/>
        <w:rPr>
          <w:i/>
          <w:color w:val="FF0000"/>
        </w:rPr>
      </w:pPr>
      <w:bookmarkStart w:id="38" w:name="_heading=h.uao4gxbky0bf" w:colFirst="0" w:colLast="0"/>
      <w:bookmarkEnd w:id="38"/>
      <w:r>
        <w:rPr>
          <w:b/>
        </w:rPr>
        <w:t>Quadro 13.</w:t>
      </w:r>
      <w:r>
        <w:t xml:space="preserve"> Resultados, por desfecho, dos estudos incluídos apresentados pelo PROPONENTE. </w:t>
      </w:r>
      <w:r>
        <w:rPr>
          <w:i/>
          <w:noProof/>
          <w:color w:val="FF0000"/>
        </w:rPr>
        <w:drawing>
          <wp:inline distT="114300" distB="114300" distL="114300" distR="114300" wp14:anchorId="4FB5F355" wp14:editId="4FB5F356">
            <wp:extent cx="6233852" cy="6063580"/>
            <wp:effectExtent l="0" t="0" r="0" b="0"/>
            <wp:docPr id="6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6233852" cy="6063580"/>
                    </a:xfrm>
                    <a:prstGeom prst="rect">
                      <a:avLst/>
                    </a:prstGeom>
                    <a:ln/>
                  </pic:spPr>
                </pic:pic>
              </a:graphicData>
            </a:graphic>
          </wp:inline>
        </w:drawing>
      </w:r>
    </w:p>
    <w:p w14:paraId="4FB5EBCE" w14:textId="77777777" w:rsidR="008238E6" w:rsidRDefault="00D61AB3">
      <w:pPr>
        <w:ind w:left="-566" w:right="-577"/>
        <w:jc w:val="center"/>
        <w:rPr>
          <w:smallCaps/>
        </w:rPr>
      </w:pPr>
      <w:r>
        <w:rPr>
          <w:smallCaps/>
          <w:noProof/>
        </w:rPr>
        <w:drawing>
          <wp:inline distT="114300" distB="114300" distL="114300" distR="114300" wp14:anchorId="4FB5F357" wp14:editId="4FB5F358">
            <wp:extent cx="6272750" cy="3062288"/>
            <wp:effectExtent l="0" t="0" r="0" b="0"/>
            <wp:docPr id="6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6272750" cy="3062288"/>
                    </a:xfrm>
                    <a:prstGeom prst="rect">
                      <a:avLst/>
                    </a:prstGeom>
                    <a:ln/>
                  </pic:spPr>
                </pic:pic>
              </a:graphicData>
            </a:graphic>
          </wp:inline>
        </w:drawing>
      </w:r>
    </w:p>
    <w:p w14:paraId="4FB5EBCF" w14:textId="77777777" w:rsidR="008238E6" w:rsidRDefault="00D61AB3">
      <w:pPr>
        <w:pStyle w:val="Heading4"/>
        <w:spacing w:before="0" w:after="160" w:line="259" w:lineRule="auto"/>
      </w:pPr>
      <w:bookmarkStart w:id="39" w:name="_heading=h.ut8854cgxdz9" w:colFirst="0" w:colLast="0"/>
      <w:bookmarkEnd w:id="39"/>
      <w:r>
        <w:rPr>
          <w:b/>
        </w:rPr>
        <w:t>Quadro 14.</w:t>
      </w:r>
      <w:r>
        <w:t xml:space="preserve"> Resultados, por desfecho, dos estudos incluídos na análise do PARECERISTA.</w:t>
      </w:r>
    </w:p>
    <w:tbl>
      <w:tblPr>
        <w:tblStyle w:val="affffff0"/>
        <w:tblW w:w="862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45"/>
        <w:gridCol w:w="6480"/>
      </w:tblGrid>
      <w:tr w:rsidR="008238E6" w14:paraId="4FB5EBD3" w14:textId="77777777">
        <w:tc>
          <w:tcPr>
            <w:tcW w:w="2145" w:type="dxa"/>
          </w:tcPr>
          <w:p w14:paraId="4FB5EBD0" w14:textId="77777777" w:rsidR="008238E6" w:rsidRDefault="00D61AB3">
            <w:pPr>
              <w:spacing w:before="120" w:after="120"/>
              <w:jc w:val="center"/>
              <w:rPr>
                <w:b/>
                <w:sz w:val="20"/>
                <w:szCs w:val="20"/>
              </w:rPr>
            </w:pPr>
            <w:r>
              <w:rPr>
                <w:b/>
                <w:sz w:val="20"/>
                <w:szCs w:val="20"/>
              </w:rPr>
              <w:t>Estudo (Autor, ano)</w:t>
            </w:r>
          </w:p>
        </w:tc>
        <w:tc>
          <w:tcPr>
            <w:tcW w:w="6480" w:type="dxa"/>
          </w:tcPr>
          <w:p w14:paraId="4FB5EBD2" w14:textId="77F5CFCB" w:rsidR="008238E6" w:rsidRPr="007E78C8" w:rsidRDefault="00D61AB3" w:rsidP="007E78C8">
            <w:pPr>
              <w:spacing w:before="120" w:after="120"/>
              <w:jc w:val="center"/>
              <w:rPr>
                <w:sz w:val="20"/>
                <w:szCs w:val="20"/>
              </w:rPr>
            </w:pPr>
            <w:r>
              <w:rPr>
                <w:sz w:val="20"/>
                <w:szCs w:val="20"/>
              </w:rPr>
              <w:t>Mudança de tratamento</w:t>
            </w:r>
          </w:p>
        </w:tc>
      </w:tr>
      <w:tr w:rsidR="008238E6" w14:paraId="4FB5EBDA" w14:textId="77777777">
        <w:trPr>
          <w:trHeight w:val="758"/>
        </w:trPr>
        <w:tc>
          <w:tcPr>
            <w:tcW w:w="2145" w:type="dxa"/>
          </w:tcPr>
          <w:p w14:paraId="4FB5EBD4" w14:textId="77777777" w:rsidR="008238E6" w:rsidRDefault="00D61AB3">
            <w:pPr>
              <w:spacing w:before="120" w:after="120"/>
              <w:jc w:val="center"/>
              <w:rPr>
                <w:sz w:val="20"/>
                <w:szCs w:val="20"/>
              </w:rPr>
            </w:pPr>
            <w:r>
              <w:rPr>
                <w:sz w:val="20"/>
                <w:szCs w:val="20"/>
              </w:rPr>
              <w:t>Shepherd, 2018 (8)</w:t>
            </w:r>
          </w:p>
        </w:tc>
        <w:tc>
          <w:tcPr>
            <w:tcW w:w="6480" w:type="dxa"/>
          </w:tcPr>
          <w:p w14:paraId="4FB5EBD5" w14:textId="77777777" w:rsidR="008238E6" w:rsidRDefault="00D61AB3">
            <w:pPr>
              <w:spacing w:before="120" w:after="120"/>
              <w:jc w:val="center"/>
              <w:rPr>
                <w:sz w:val="20"/>
                <w:szCs w:val="20"/>
                <w:u w:val="single"/>
              </w:rPr>
            </w:pPr>
            <w:r>
              <w:rPr>
                <w:sz w:val="20"/>
                <w:szCs w:val="20"/>
                <w:u w:val="single"/>
              </w:rPr>
              <w:t>Antes do diagnóstico</w:t>
            </w:r>
          </w:p>
          <w:p w14:paraId="4FB5EBD6" w14:textId="77777777" w:rsidR="008238E6" w:rsidRDefault="00D61AB3">
            <w:pPr>
              <w:spacing w:before="120" w:after="120"/>
              <w:jc w:val="center"/>
              <w:rPr>
                <w:sz w:val="20"/>
                <w:szCs w:val="20"/>
              </w:rPr>
            </w:pPr>
            <w:r>
              <w:rPr>
                <w:sz w:val="20"/>
                <w:szCs w:val="20"/>
              </w:rPr>
              <w:t>58 pacientes utilizavam medicamentos</w:t>
            </w:r>
          </w:p>
          <w:p w14:paraId="4FB5EBD7" w14:textId="77777777" w:rsidR="008238E6" w:rsidRDefault="00D61AB3">
            <w:pPr>
              <w:spacing w:before="120" w:after="120"/>
              <w:jc w:val="center"/>
              <w:rPr>
                <w:sz w:val="20"/>
                <w:szCs w:val="20"/>
                <w:u w:val="single"/>
              </w:rPr>
            </w:pPr>
            <w:r>
              <w:rPr>
                <w:sz w:val="20"/>
                <w:szCs w:val="20"/>
                <w:u w:val="single"/>
              </w:rPr>
              <w:t>Depois do diagnóstico</w:t>
            </w:r>
          </w:p>
          <w:p w14:paraId="4FB5EBD8" w14:textId="77777777" w:rsidR="008238E6" w:rsidRDefault="00D61AB3">
            <w:pPr>
              <w:spacing w:before="120" w:after="120"/>
              <w:jc w:val="center"/>
              <w:rPr>
                <w:sz w:val="20"/>
                <w:szCs w:val="20"/>
              </w:rPr>
            </w:pPr>
            <w:r>
              <w:rPr>
                <w:sz w:val="20"/>
                <w:szCs w:val="20"/>
              </w:rPr>
              <w:t>44 indivíduos (75,9%) mudaram o tratamento</w:t>
            </w:r>
          </w:p>
          <w:p w14:paraId="4FB5EBD9" w14:textId="77777777" w:rsidR="008238E6" w:rsidRDefault="00D61AB3">
            <w:pPr>
              <w:spacing w:before="120" w:after="120"/>
              <w:jc w:val="center"/>
              <w:rPr>
                <w:sz w:val="20"/>
                <w:szCs w:val="20"/>
              </w:rPr>
            </w:pPr>
            <w:r>
              <w:rPr>
                <w:sz w:val="20"/>
                <w:szCs w:val="20"/>
              </w:rPr>
              <w:t>14 indivíduos (24,1%) não mudaram o tratamento</w:t>
            </w:r>
          </w:p>
        </w:tc>
      </w:tr>
      <w:tr w:rsidR="008238E6" w14:paraId="4FB5EBE4" w14:textId="77777777">
        <w:trPr>
          <w:trHeight w:val="656"/>
        </w:trPr>
        <w:tc>
          <w:tcPr>
            <w:tcW w:w="2145" w:type="dxa"/>
          </w:tcPr>
          <w:p w14:paraId="4FB5EBDB" w14:textId="77777777" w:rsidR="008238E6" w:rsidRDefault="00D61AB3">
            <w:pPr>
              <w:spacing w:before="120" w:after="120"/>
              <w:jc w:val="center"/>
              <w:rPr>
                <w:sz w:val="20"/>
                <w:szCs w:val="20"/>
              </w:rPr>
            </w:pPr>
            <w:r>
              <w:rPr>
                <w:sz w:val="20"/>
                <w:szCs w:val="20"/>
              </w:rPr>
              <w:t>Shepherd, 2009 (9)</w:t>
            </w:r>
          </w:p>
        </w:tc>
        <w:tc>
          <w:tcPr>
            <w:tcW w:w="6480" w:type="dxa"/>
          </w:tcPr>
          <w:p w14:paraId="4FB5EBDC" w14:textId="77777777" w:rsidR="008238E6" w:rsidRDefault="00D61AB3">
            <w:pPr>
              <w:spacing w:before="120" w:after="120"/>
              <w:jc w:val="center"/>
              <w:rPr>
                <w:sz w:val="20"/>
                <w:szCs w:val="20"/>
                <w:u w:val="single"/>
              </w:rPr>
            </w:pPr>
            <w:r>
              <w:rPr>
                <w:sz w:val="20"/>
                <w:szCs w:val="20"/>
                <w:u w:val="single"/>
              </w:rPr>
              <w:t>Antes do diagnóstico</w:t>
            </w:r>
          </w:p>
          <w:p w14:paraId="4FB5EBDD" w14:textId="77777777" w:rsidR="008238E6" w:rsidRDefault="00D61AB3">
            <w:pPr>
              <w:spacing w:before="120" w:after="120"/>
              <w:jc w:val="center"/>
              <w:rPr>
                <w:sz w:val="20"/>
                <w:szCs w:val="20"/>
              </w:rPr>
            </w:pPr>
            <w:r>
              <w:rPr>
                <w:sz w:val="20"/>
                <w:szCs w:val="20"/>
              </w:rPr>
              <w:t>43 pacientes utilizavam medicamentos</w:t>
            </w:r>
          </w:p>
          <w:p w14:paraId="4FB5EBDE" w14:textId="77777777" w:rsidR="008238E6" w:rsidRDefault="00D61AB3">
            <w:pPr>
              <w:spacing w:before="120" w:after="120"/>
              <w:jc w:val="center"/>
              <w:rPr>
                <w:sz w:val="20"/>
                <w:szCs w:val="20"/>
                <w:u w:val="single"/>
              </w:rPr>
            </w:pPr>
            <w:r>
              <w:rPr>
                <w:sz w:val="20"/>
                <w:szCs w:val="20"/>
                <w:u w:val="single"/>
              </w:rPr>
              <w:t>Depois do diagnóstico</w:t>
            </w:r>
          </w:p>
          <w:p w14:paraId="4FB5EBDF" w14:textId="77777777" w:rsidR="008238E6" w:rsidRDefault="00D61AB3">
            <w:pPr>
              <w:spacing w:before="120" w:after="120"/>
              <w:jc w:val="center"/>
              <w:rPr>
                <w:i/>
                <w:sz w:val="20"/>
                <w:szCs w:val="20"/>
              </w:rPr>
            </w:pPr>
            <w:r>
              <w:rPr>
                <w:i/>
                <w:sz w:val="20"/>
                <w:szCs w:val="20"/>
              </w:rPr>
              <w:t>Mudança tratamento</w:t>
            </w:r>
          </w:p>
          <w:p w14:paraId="4FB5EBE0" w14:textId="77777777" w:rsidR="008238E6" w:rsidRDefault="00D61AB3">
            <w:pPr>
              <w:spacing w:before="120" w:after="120"/>
              <w:jc w:val="center"/>
              <w:rPr>
                <w:sz w:val="20"/>
                <w:szCs w:val="20"/>
              </w:rPr>
            </w:pPr>
            <w:r>
              <w:rPr>
                <w:sz w:val="20"/>
                <w:szCs w:val="20"/>
              </w:rPr>
              <w:t>34 indivíduos (79%) interromperam o uso de insulina e passaram a utilizar sulfonilureia</w:t>
            </w:r>
          </w:p>
          <w:p w14:paraId="4FB5EBE1" w14:textId="77777777" w:rsidR="008238E6" w:rsidRDefault="00D61AB3">
            <w:pPr>
              <w:spacing w:before="120" w:after="120"/>
              <w:jc w:val="center"/>
              <w:rPr>
                <w:sz w:val="20"/>
                <w:szCs w:val="20"/>
              </w:rPr>
            </w:pPr>
            <w:r>
              <w:rPr>
                <w:sz w:val="20"/>
                <w:szCs w:val="20"/>
              </w:rPr>
              <w:t>1 paciente iniciou o tratamento com metformina (2%)</w:t>
            </w:r>
          </w:p>
          <w:p w14:paraId="4FB5EBE2" w14:textId="77777777" w:rsidR="008238E6" w:rsidRDefault="00D61AB3">
            <w:pPr>
              <w:spacing w:before="120" w:after="120"/>
              <w:jc w:val="center"/>
              <w:rPr>
                <w:sz w:val="20"/>
                <w:szCs w:val="20"/>
              </w:rPr>
            </w:pPr>
            <w:r>
              <w:rPr>
                <w:sz w:val="20"/>
                <w:szCs w:val="20"/>
              </w:rPr>
              <w:t xml:space="preserve">8 (19%) permaneceram com insulina. </w:t>
            </w:r>
          </w:p>
          <w:p w14:paraId="4FB5EBE3" w14:textId="77777777" w:rsidR="008238E6" w:rsidRDefault="00D61AB3">
            <w:pPr>
              <w:spacing w:before="120" w:after="120"/>
              <w:jc w:val="center"/>
              <w:rPr>
                <w:sz w:val="20"/>
                <w:szCs w:val="20"/>
              </w:rPr>
            </w:pPr>
            <w:r>
              <w:rPr>
                <w:sz w:val="20"/>
                <w:szCs w:val="20"/>
              </w:rPr>
              <w:t>Dos 34 pacientes que realizaram a troca para a sulfoniluréia, 10 (29%) voltaram a utilizar insulina.</w:t>
            </w:r>
          </w:p>
        </w:tc>
      </w:tr>
    </w:tbl>
    <w:p w14:paraId="4FB5EBE5" w14:textId="77777777" w:rsidR="008238E6" w:rsidRDefault="008238E6">
      <w:pPr>
        <w:rPr>
          <w:smallCaps/>
          <w:highlight w:val="cyan"/>
        </w:rPr>
      </w:pPr>
    </w:p>
    <w:tbl>
      <w:tblPr>
        <w:tblStyle w:val="affffff1"/>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BE7" w14:textId="77777777">
        <w:trPr>
          <w:trHeight w:val="416"/>
        </w:trPr>
        <w:tc>
          <w:tcPr>
            <w:tcW w:w="9072" w:type="dxa"/>
            <w:shd w:val="clear" w:color="auto" w:fill="D9E2F3"/>
            <w:vAlign w:val="center"/>
          </w:tcPr>
          <w:p w14:paraId="4FB5EBE6" w14:textId="77777777" w:rsidR="008238E6" w:rsidRDefault="00D61AB3">
            <w:pPr>
              <w:spacing w:before="120" w:after="120"/>
              <w:jc w:val="center"/>
              <w:rPr>
                <w:b/>
              </w:rPr>
            </w:pPr>
            <w:r>
              <w:rPr>
                <w:b/>
              </w:rPr>
              <w:t>Comentários gerais sobre o quadro de resultados, por desfecho, dos estudos incluídos</w:t>
            </w:r>
          </w:p>
        </w:tc>
      </w:tr>
      <w:tr w:rsidR="008238E6" w14:paraId="4FB5EBF6" w14:textId="77777777">
        <w:trPr>
          <w:trHeight w:val="750"/>
        </w:trPr>
        <w:tc>
          <w:tcPr>
            <w:tcW w:w="9072" w:type="dxa"/>
            <w:vAlign w:val="center"/>
          </w:tcPr>
          <w:p w14:paraId="4FB5EBE8" w14:textId="77777777" w:rsidR="008238E6" w:rsidRDefault="00D61AB3">
            <w:pPr>
              <w:spacing w:before="120" w:after="120"/>
            </w:pPr>
            <w:r>
              <w:t>O PROPONENTE apresentou um quadro abrangente com os principais desfechos dos estudos incluídos, focando nos principais tipos de diabetes monogênico (MODY 1, 2 e 3), com uma descrição detalhada em formato narrativo nas páginas 25 a 28 do seu relatório (20241000198_PTC_Revisão Sistemática).</w:t>
            </w:r>
          </w:p>
          <w:p w14:paraId="4FB5EBE9" w14:textId="70A78E11" w:rsidR="008238E6" w:rsidRDefault="00D61AB3">
            <w:pPr>
              <w:spacing w:before="120" w:after="120"/>
            </w:pPr>
            <w:r>
              <w:t>Na descrição dos resultados, o PROPONENTE organizou as informações por tipo de diabetes monogênico. Para o MODY 1 (HNF4A), os resultados foram oriundos de um relato de caso (Globa, 2017) e de um estudo de coorte (Shepherd, 2018). No caso do MODY 2 (GCK), os resultados foram obtidos a partir de quatro relatos de caso e três coortes (Campos Franco, 2012; Li, 2018; Shepherd, 2018). Para o MODY 3 (HNF1A), os dados foram extraídos de três relatos de caso, uma coorte (Shepherd, 2009) e um ensaio clínico randomizado (ECR) (Pearson, 2003). Os resultados referentes ao MODY 5 (HNF1B) foram provenientes de uma revisão e um relato de caso. Para o MODY 12 (ABCC8), os resultados foram baseados em dois relatos de caso e uma coorte (Reilly, 2009).</w:t>
            </w:r>
          </w:p>
          <w:p w14:paraId="4FB5EBEA" w14:textId="77777777" w:rsidR="008238E6" w:rsidRDefault="00D61AB3">
            <w:pPr>
              <w:spacing w:before="120" w:after="120"/>
            </w:pPr>
            <w:r>
              <w:t>Os PARECERISTAS incluíram duas coortes e os resultados são apresentados abaixo. Nenhum dos estudos especificou a técnica utilizada.</w:t>
            </w:r>
          </w:p>
          <w:p w14:paraId="4FB5EBEB" w14:textId="77777777" w:rsidR="008238E6" w:rsidRDefault="00D61AB3">
            <w:pPr>
              <w:spacing w:before="120" w:after="120"/>
            </w:pPr>
            <w:r>
              <w:t>Os desfechos relacionados ao controle glicêmico, aos efeitos adversos do tratamento e às complicações crônicas do diabetes não foram avaliados em estudos de comparação direta. Os estudos descrevem o controle glicêmico durante o acompanhamento pós-teste genético, sem realizar uma análise prévia na mesma população ou em um grupo comparativo paralelo com o diagnóstico clínico sem o teste. Não é possível excluir vieses de confusão devido ao resultado de teste genético, cujo conhecimento pode ter influenciado a conduta. A ocorrência de complicações crônicas associadas ao diabetes não foi avaliada.</w:t>
            </w:r>
          </w:p>
          <w:p w14:paraId="4FB5EBEC" w14:textId="77777777" w:rsidR="008238E6" w:rsidRDefault="00D61AB3">
            <w:pPr>
              <w:spacing w:before="120" w:after="120"/>
              <w:rPr>
                <w:b/>
              </w:rPr>
            </w:pPr>
            <w:r>
              <w:rPr>
                <w:b/>
              </w:rPr>
              <w:t>Coorte Shepherd et al., 2018 (8):</w:t>
            </w:r>
          </w:p>
          <w:p w14:paraId="4FB5EBED" w14:textId="77777777" w:rsidR="008238E6" w:rsidRDefault="00D61AB3">
            <w:pPr>
              <w:spacing w:before="120" w:after="120"/>
            </w:pPr>
            <w:r>
              <w:t>Os critérios de inclusão foram: (1) confirmação do teste genético para HNF1A, HNF4A ou GCK-MODY; (2) não estarem em tratamento recomendado no momento do diagnóstico genético; e (3) terem sido diagnosticados com diabetes antes dos 30 anos e com menos de 50 anos no momento do teste genético. O tratamento foi considerado "não recomendado" se os pacientes com HNF1A ou HNF4A-MODY estivessem sob tratamento com medicamentos diferentes de sulfonilureias e se os pacientes com GCK-MODY estivessem em qualquer terapia para diabetes. No total, 61 indivíduos preencheram os critérios de elegibilidade, dos quais 58 foram contactáveis e concordaram em participar (39 com HNF1A-MODY, 10 com HNF4A-MODY e 9 com GCK-MODY).</w:t>
            </w:r>
          </w:p>
          <w:p w14:paraId="4FB5EBEE" w14:textId="77777777" w:rsidR="008238E6" w:rsidRDefault="00D61AB3">
            <w:pPr>
              <w:spacing w:before="120" w:after="120"/>
            </w:pPr>
            <w:r>
              <w:t xml:space="preserve">Dos 58 pacientes confirmados com MODY através do teste genético, 50 utilizavam insulina (43 com HNF1A/HNF4A e 7 com GCK), enquanto 8 pacientes faziam uso de metformina (6 com HNF1A/HNF4A e 2 com GCK). </w:t>
            </w:r>
            <w:r w:rsidRPr="004C0F26">
              <w:t>Quatorze indivíduos (24,1%) não mudaram de tratamento e não foram acompanhados. Os motivos para a continuidade do tratamento anterior incluíram gravidez (n = 3), escolha individual (n = 5) e decisão do clínico (n = 5), incluindo indivíduos com retinopatia, nefropatia ou diagnóstico concomitante de diabetes tipo 1.</w:t>
            </w:r>
          </w:p>
          <w:p w14:paraId="4FB5EBEF" w14:textId="77777777" w:rsidR="008238E6" w:rsidRDefault="00D61AB3">
            <w:pPr>
              <w:spacing w:before="120" w:after="120"/>
            </w:pPr>
            <w:r>
              <w:t xml:space="preserve">Dos 44 pacientes que mudaram de tratamento, sete pacientes com GCK utilizavam insulina e um utilizava metformina, ambos suspendendo o tratamento após a confirmação do teste genético. Cinco pacientes com HNF1A/HNF4A utilizavam metformina antes do diagnóstico; após este, um paciente interrompeu o uso de metformina e passou a seguir uma dieta, outro mudou para sulfonilureia, e três alteraram para uma combinação de sulfonilureia e metformina. Dois pacientes com HNF1A/HNF4A que utilizavam insulina e metformina antes do diagnóstico substituíram a insulina por sulfonilureia. </w:t>
            </w:r>
            <w:r w:rsidRPr="00B852FA">
              <w:t>Vinte e nove</w:t>
            </w:r>
            <w:r>
              <w:t xml:space="preserve"> pacientes com HNF1A/HNF4A estavam em uso de insulina antes do teste genético; após o diagnóstico, dois interromperam o uso da insulina e passaram a seguir uma dieta, 17 mudaram para sulfonilureia, um passou a utilizar sulfonilureia e metformina, três optaram por uma combinação de sulfonilureia e insulina, e três mantiveram insulina com outro agente redutor de glicose.</w:t>
            </w:r>
          </w:p>
          <w:p w14:paraId="4FB5EBF0" w14:textId="77777777" w:rsidR="008238E6" w:rsidRDefault="008238E6">
            <w:pPr>
              <w:spacing w:before="120" w:after="120"/>
            </w:pPr>
          </w:p>
          <w:p w14:paraId="4FB5EBF1" w14:textId="77777777" w:rsidR="008238E6" w:rsidRDefault="00D61AB3">
            <w:pPr>
              <w:spacing w:before="120" w:after="120"/>
              <w:rPr>
                <w:b/>
              </w:rPr>
            </w:pPr>
            <w:r>
              <w:rPr>
                <w:b/>
              </w:rPr>
              <w:t>Coorte Shepherd et al., 2009 (9):</w:t>
            </w:r>
          </w:p>
          <w:p w14:paraId="4FB5EBF2" w14:textId="77777777" w:rsidR="008238E6" w:rsidRDefault="00D61AB3">
            <w:pPr>
              <w:spacing w:before="120" w:after="120"/>
            </w:pPr>
            <w:r>
              <w:t>Os registros das características clínicas de 43 pacientes foram examinados em relação a: (i) tratamento atual; (ii) peso, altura e índice de massa corporal (IMC) atuais; (iii) tentativa de transferência de insulina para sulfonilureias, incluindo as datas das mudanças de tratamento; e (iv) níveis de HbA1c no momento do teste genético e os mais recentes. Todos os 43 pacientes apresentavam um histórico familiar dominante de diabetes, abrangendo de duas a cinco gerações.</w:t>
            </w:r>
          </w:p>
          <w:p w14:paraId="4FB5EBF3" w14:textId="77777777" w:rsidR="008238E6" w:rsidRDefault="00D61AB3">
            <w:pPr>
              <w:spacing w:before="120" w:after="120"/>
            </w:pPr>
            <w:r>
              <w:t>Após o diagnóstico genético molecular de diabetes HNF1A, 34 dos 43 pacientes (79%) interromperam o uso de insulina e tentaram a transferência para sulfonilureias. A maioria foi transferida para gliclazida (n = 26), com outros sendo tratados com glimepirida (n = 5), glipizida (n = 2) e glibenclamida (n = 1). Além disso, um paciente foi transferido para metformina. A transferência de insulina não foi realizada em oito pacientes, apesar do diagnóstico genético molecular. Em dois casos, os pacientes optaram por não tentar a transferência, e um paciente que planejava engravidar decidiu permanecer em tratamento com insulina durante esse período.</w:t>
            </w:r>
          </w:p>
          <w:p w14:paraId="4FB5EBF4" w14:textId="17C7DC1B" w:rsidR="008238E6" w:rsidRDefault="00D61AB3">
            <w:pPr>
              <w:spacing w:before="120" w:after="120"/>
            </w:pPr>
            <w:r>
              <w:t>A maioria dos pacientes em sulfonilureias (24 dos 34, ou 71%) permaneceu sem insulina por uma mediana de 39 meses (IQR 24–63 meses; intervalo de 17 a 90 meses) após a transferência. A mediana da duração do diabetes desde o diagnóstico nestes pacientes foi de 7 anos (IQR 3–16 anos). A dose mediana de sulfonilureia foi de 1,3 mg/kg/dia de gliclazida (IQR 0,5–2,4 mg/kg/dia). Entretanto 10 dos 34 pacientes voltaram a utilizar insulina.</w:t>
            </w:r>
          </w:p>
          <w:p w14:paraId="4FB5EBF5" w14:textId="77777777" w:rsidR="008238E6" w:rsidRDefault="00D61AB3">
            <w:pPr>
              <w:spacing w:before="120" w:after="120"/>
            </w:pPr>
            <w:r>
              <w:t>Dos 10 pacientes (29%) que reiniciaram o uso de insulina, observou-se uma tendência para uma maior duração do diabetes desde o diagnóstico em comparação com aqueles que permaneceram em sulfonilureias, com uma mediana de 18 anos (IQR 6,5–35,5 anos) versus 7 anos (IQR 3–16 anos; P = 0,066). No entanto, o IMC (26,0 vs. 24,0 kg/m²) e a idade do diagnóstico (17 vs. 16 anos; P = 0,3) foram semelhantes. A HbA1c inferior a 7,5% foi alcançada em um terço (2 dos 6) dos pacientes que retornaram à insulina isoladamente e em 75% (3 dos 4) daqueles que receberam uma combinação de insulina e sulfonilureia. Nos pacientes que retornaram à insulina, a HbA1c foi de 8,4% (IQR 7,0–9,0) antes da transferência para sulfonilureias, semelhante ao seu valor mais recente com insulina, que foi de 8,5% (IQR 7,3–9,6%; P = 0,83). O tempo médio após a transferência antes de reiniciar a insulina foi de 4 meses, mas varia consideravelmente, de 1 dia a 8 anos. A dose máxima de sulfonilureia alcançada antes de reiniciar a insulina foi de 3,7 mg/kg/dia de gliclazida.</w:t>
            </w:r>
          </w:p>
        </w:tc>
      </w:tr>
    </w:tbl>
    <w:p w14:paraId="4FB5EBF7" w14:textId="77777777" w:rsidR="008238E6" w:rsidRDefault="008238E6">
      <w:pPr>
        <w:spacing w:before="120" w:after="120" w:line="240" w:lineRule="auto"/>
        <w:rPr>
          <w:smallCaps/>
          <w:highlight w:val="cyan"/>
        </w:rPr>
      </w:pPr>
    </w:p>
    <w:p w14:paraId="4FB5EBF8" w14:textId="77777777" w:rsidR="008238E6" w:rsidRDefault="008238E6">
      <w:pPr>
        <w:spacing w:before="120" w:after="120" w:line="240" w:lineRule="auto"/>
        <w:rPr>
          <w:smallCaps/>
          <w:highlight w:val="cyan"/>
        </w:rPr>
      </w:pPr>
    </w:p>
    <w:p w14:paraId="4FB5EBF9" w14:textId="77777777" w:rsidR="008238E6" w:rsidRDefault="008238E6">
      <w:pPr>
        <w:spacing w:before="120" w:after="120" w:line="240" w:lineRule="auto"/>
        <w:rPr>
          <w:smallCaps/>
          <w:highlight w:val="cyan"/>
        </w:rPr>
      </w:pPr>
    </w:p>
    <w:p w14:paraId="4FB5EBFA" w14:textId="77777777" w:rsidR="008238E6" w:rsidRDefault="00D61AB3">
      <w:pPr>
        <w:spacing w:line="240" w:lineRule="auto"/>
        <w:rPr>
          <w:b/>
          <w:sz w:val="24"/>
          <w:szCs w:val="24"/>
        </w:rPr>
      </w:pPr>
      <w:r>
        <w:rPr>
          <w:b/>
          <w:sz w:val="24"/>
          <w:szCs w:val="24"/>
        </w:rPr>
        <w:t>5.5.3 Risco de viés ou qualidade metodológica dos estudos incluídos</w:t>
      </w:r>
    </w:p>
    <w:p w14:paraId="4FB5EBFB" w14:textId="77777777" w:rsidR="008238E6" w:rsidRDefault="00D61AB3">
      <w:pPr>
        <w:pStyle w:val="Heading4"/>
      </w:pPr>
      <w:bookmarkStart w:id="40" w:name="_heading=h.maqj7udkbrs3" w:colFirst="0" w:colLast="0"/>
      <w:bookmarkEnd w:id="40"/>
      <w:r>
        <w:rPr>
          <w:b/>
        </w:rPr>
        <w:t xml:space="preserve">Quadro 15. </w:t>
      </w:r>
      <w:r>
        <w:t>Características do processo de avaliação do risco de viés ou qualidade metodológica dos estudos incluídos.</w:t>
      </w:r>
    </w:p>
    <w:tbl>
      <w:tblPr>
        <w:tblStyle w:val="affffff2"/>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1"/>
        <w:gridCol w:w="2268"/>
        <w:gridCol w:w="2663"/>
        <w:gridCol w:w="2723"/>
      </w:tblGrid>
      <w:tr w:rsidR="008238E6" w14:paraId="4FB5EC00" w14:textId="77777777">
        <w:trPr>
          <w:trHeight w:val="454"/>
          <w:jc w:val="center"/>
        </w:trPr>
        <w:tc>
          <w:tcPr>
            <w:tcW w:w="1481" w:type="dxa"/>
            <w:shd w:val="clear" w:color="auto" w:fill="D9E2F3"/>
          </w:tcPr>
          <w:p w14:paraId="4FB5EBFC" w14:textId="77777777" w:rsidR="008238E6" w:rsidRDefault="00D61AB3">
            <w:pPr>
              <w:spacing w:before="120" w:after="120"/>
              <w:jc w:val="center"/>
              <w:rPr>
                <w:b/>
                <w:sz w:val="20"/>
                <w:szCs w:val="20"/>
              </w:rPr>
            </w:pPr>
            <w:r>
              <w:rPr>
                <w:b/>
                <w:sz w:val="20"/>
                <w:szCs w:val="20"/>
              </w:rPr>
              <w:t>Critérios</w:t>
            </w:r>
          </w:p>
        </w:tc>
        <w:tc>
          <w:tcPr>
            <w:tcW w:w="2268" w:type="dxa"/>
            <w:shd w:val="clear" w:color="auto" w:fill="D9E2F3"/>
          </w:tcPr>
          <w:p w14:paraId="4FB5EBFD" w14:textId="77777777" w:rsidR="008238E6" w:rsidRDefault="00D61AB3">
            <w:pPr>
              <w:spacing w:before="120" w:after="120"/>
              <w:jc w:val="center"/>
              <w:rPr>
                <w:b/>
                <w:sz w:val="20"/>
                <w:szCs w:val="20"/>
              </w:rPr>
            </w:pPr>
            <w:r>
              <w:rPr>
                <w:b/>
                <w:sz w:val="20"/>
                <w:szCs w:val="20"/>
              </w:rPr>
              <w:t>Proponente</w:t>
            </w:r>
          </w:p>
        </w:tc>
        <w:tc>
          <w:tcPr>
            <w:tcW w:w="2663" w:type="dxa"/>
            <w:shd w:val="clear" w:color="auto" w:fill="D9E2F3"/>
          </w:tcPr>
          <w:p w14:paraId="4FB5EBFE" w14:textId="77777777" w:rsidR="008238E6" w:rsidRDefault="00D61AB3">
            <w:pPr>
              <w:spacing w:before="120" w:after="120"/>
              <w:jc w:val="center"/>
              <w:rPr>
                <w:b/>
                <w:sz w:val="20"/>
                <w:szCs w:val="20"/>
              </w:rPr>
            </w:pPr>
            <w:r>
              <w:rPr>
                <w:b/>
                <w:sz w:val="20"/>
                <w:szCs w:val="20"/>
              </w:rPr>
              <w:t>Análise da proposta</w:t>
            </w:r>
          </w:p>
        </w:tc>
        <w:tc>
          <w:tcPr>
            <w:tcW w:w="2723" w:type="dxa"/>
            <w:shd w:val="clear" w:color="auto" w:fill="D9E2F3"/>
          </w:tcPr>
          <w:p w14:paraId="4FB5EBFF" w14:textId="77777777" w:rsidR="008238E6" w:rsidRDefault="00D61AB3">
            <w:pPr>
              <w:spacing w:before="120" w:after="120"/>
              <w:jc w:val="center"/>
              <w:rPr>
                <w:b/>
                <w:sz w:val="20"/>
                <w:szCs w:val="20"/>
              </w:rPr>
            </w:pPr>
            <w:r>
              <w:rPr>
                <w:b/>
                <w:sz w:val="20"/>
                <w:szCs w:val="20"/>
              </w:rPr>
              <w:t>Parecerista</w:t>
            </w:r>
          </w:p>
        </w:tc>
      </w:tr>
      <w:tr w:rsidR="008238E6" w14:paraId="4FB5EC06" w14:textId="77777777">
        <w:trPr>
          <w:trHeight w:val="454"/>
          <w:jc w:val="center"/>
        </w:trPr>
        <w:tc>
          <w:tcPr>
            <w:tcW w:w="1481" w:type="dxa"/>
            <w:shd w:val="clear" w:color="auto" w:fill="auto"/>
          </w:tcPr>
          <w:p w14:paraId="4FB5EC01" w14:textId="77777777" w:rsidR="008238E6" w:rsidRDefault="00D61AB3">
            <w:pPr>
              <w:spacing w:before="120" w:after="120"/>
              <w:jc w:val="center"/>
              <w:rPr>
                <w:b/>
                <w:sz w:val="20"/>
                <w:szCs w:val="20"/>
              </w:rPr>
            </w:pPr>
            <w:r>
              <w:rPr>
                <w:b/>
                <w:sz w:val="20"/>
                <w:szCs w:val="20"/>
              </w:rPr>
              <w:t>Ferramenta</w:t>
            </w:r>
          </w:p>
        </w:tc>
        <w:tc>
          <w:tcPr>
            <w:tcW w:w="2268" w:type="dxa"/>
            <w:shd w:val="clear" w:color="auto" w:fill="auto"/>
          </w:tcPr>
          <w:p w14:paraId="4FB5EC02" w14:textId="77777777" w:rsidR="008238E6" w:rsidRDefault="00D61AB3">
            <w:pPr>
              <w:spacing w:before="120" w:after="120"/>
              <w:jc w:val="center"/>
              <w:rPr>
                <w:sz w:val="20"/>
                <w:szCs w:val="20"/>
              </w:rPr>
            </w:pPr>
            <w:r>
              <w:rPr>
                <w:sz w:val="20"/>
                <w:szCs w:val="20"/>
              </w:rPr>
              <w:t>RoB-2 e check list Joanna Briggs Institute (JBI)</w:t>
            </w:r>
          </w:p>
        </w:tc>
        <w:tc>
          <w:tcPr>
            <w:tcW w:w="2663" w:type="dxa"/>
          </w:tcPr>
          <w:p w14:paraId="4FB5EC03" w14:textId="77777777" w:rsidR="008238E6" w:rsidRDefault="00D61AB3">
            <w:pPr>
              <w:spacing w:before="120" w:after="120"/>
              <w:jc w:val="center"/>
              <w:rPr>
                <w:sz w:val="20"/>
                <w:szCs w:val="20"/>
              </w:rPr>
            </w:pPr>
            <w:r>
              <w:rPr>
                <w:sz w:val="20"/>
                <w:szCs w:val="20"/>
              </w:rPr>
              <w:t>Parcialmente adequado</w:t>
            </w:r>
          </w:p>
          <w:p w14:paraId="4FB5EC04" w14:textId="77777777" w:rsidR="008238E6" w:rsidRDefault="008238E6">
            <w:pPr>
              <w:spacing w:before="120" w:after="120"/>
              <w:jc w:val="center"/>
              <w:rPr>
                <w:i/>
                <w:color w:val="FF0000"/>
                <w:sz w:val="20"/>
                <w:szCs w:val="20"/>
              </w:rPr>
            </w:pPr>
          </w:p>
        </w:tc>
        <w:tc>
          <w:tcPr>
            <w:tcW w:w="2723" w:type="dxa"/>
          </w:tcPr>
          <w:p w14:paraId="4FB5EC05" w14:textId="77777777" w:rsidR="008238E6" w:rsidRDefault="00D61AB3">
            <w:pPr>
              <w:spacing w:before="120" w:after="120"/>
              <w:jc w:val="center"/>
              <w:rPr>
                <w:sz w:val="20"/>
                <w:szCs w:val="20"/>
              </w:rPr>
            </w:pPr>
            <w:r>
              <w:rPr>
                <w:sz w:val="20"/>
                <w:szCs w:val="20"/>
              </w:rPr>
              <w:t>ROBINS-I</w:t>
            </w:r>
          </w:p>
        </w:tc>
      </w:tr>
      <w:tr w:rsidR="008238E6" w14:paraId="4FB5EC0B" w14:textId="77777777">
        <w:trPr>
          <w:trHeight w:val="454"/>
          <w:jc w:val="center"/>
        </w:trPr>
        <w:tc>
          <w:tcPr>
            <w:tcW w:w="1481" w:type="dxa"/>
            <w:shd w:val="clear" w:color="auto" w:fill="auto"/>
          </w:tcPr>
          <w:p w14:paraId="4FB5EC07" w14:textId="77777777" w:rsidR="008238E6" w:rsidRDefault="00D61AB3">
            <w:pPr>
              <w:spacing w:before="120" w:after="120"/>
              <w:jc w:val="center"/>
              <w:rPr>
                <w:b/>
                <w:sz w:val="20"/>
                <w:szCs w:val="20"/>
              </w:rPr>
            </w:pPr>
            <w:r>
              <w:rPr>
                <w:b/>
                <w:sz w:val="20"/>
                <w:szCs w:val="20"/>
              </w:rPr>
              <w:t>Revisores envolvidos</w:t>
            </w:r>
          </w:p>
        </w:tc>
        <w:tc>
          <w:tcPr>
            <w:tcW w:w="2268" w:type="dxa"/>
            <w:shd w:val="clear" w:color="auto" w:fill="auto"/>
          </w:tcPr>
          <w:p w14:paraId="4FB5EC08" w14:textId="77777777" w:rsidR="008238E6" w:rsidRDefault="00D61AB3">
            <w:pPr>
              <w:spacing w:before="120" w:after="120"/>
              <w:jc w:val="center"/>
              <w:rPr>
                <w:sz w:val="20"/>
                <w:szCs w:val="20"/>
              </w:rPr>
            </w:pPr>
            <w:r>
              <w:rPr>
                <w:sz w:val="20"/>
                <w:szCs w:val="20"/>
              </w:rPr>
              <w:t xml:space="preserve"> não informado</w:t>
            </w:r>
          </w:p>
        </w:tc>
        <w:tc>
          <w:tcPr>
            <w:tcW w:w="2663" w:type="dxa"/>
          </w:tcPr>
          <w:p w14:paraId="4FB5EC09" w14:textId="77777777" w:rsidR="008238E6" w:rsidRDefault="00D61AB3">
            <w:pPr>
              <w:spacing w:before="120" w:after="120"/>
              <w:jc w:val="center"/>
              <w:rPr>
                <w:sz w:val="20"/>
                <w:szCs w:val="20"/>
              </w:rPr>
            </w:pPr>
            <w:r>
              <w:rPr>
                <w:sz w:val="20"/>
                <w:szCs w:val="20"/>
              </w:rPr>
              <w:t>Inadequado</w:t>
            </w:r>
          </w:p>
        </w:tc>
        <w:tc>
          <w:tcPr>
            <w:tcW w:w="2723" w:type="dxa"/>
          </w:tcPr>
          <w:p w14:paraId="4FB5EC0A" w14:textId="77777777" w:rsidR="008238E6" w:rsidRDefault="00D61AB3">
            <w:pPr>
              <w:spacing w:before="120" w:after="120"/>
              <w:jc w:val="center"/>
              <w:rPr>
                <w:sz w:val="20"/>
                <w:szCs w:val="20"/>
              </w:rPr>
            </w:pPr>
            <w:r>
              <w:rPr>
                <w:sz w:val="20"/>
                <w:szCs w:val="20"/>
              </w:rPr>
              <w:t>Um revisor</w:t>
            </w:r>
          </w:p>
        </w:tc>
      </w:tr>
      <w:tr w:rsidR="008238E6" w14:paraId="4FB5EC10" w14:textId="77777777">
        <w:trPr>
          <w:trHeight w:val="454"/>
          <w:jc w:val="center"/>
        </w:trPr>
        <w:tc>
          <w:tcPr>
            <w:tcW w:w="1481" w:type="dxa"/>
            <w:shd w:val="clear" w:color="auto" w:fill="auto"/>
          </w:tcPr>
          <w:p w14:paraId="4FB5EC0C" w14:textId="77777777" w:rsidR="008238E6" w:rsidRDefault="00D61AB3">
            <w:pPr>
              <w:spacing w:before="120" w:after="120"/>
              <w:jc w:val="center"/>
              <w:rPr>
                <w:b/>
                <w:sz w:val="20"/>
                <w:szCs w:val="20"/>
              </w:rPr>
            </w:pPr>
            <w:r>
              <w:rPr>
                <w:b/>
                <w:sz w:val="20"/>
                <w:szCs w:val="20"/>
              </w:rPr>
              <w:t>Resolução divergências</w:t>
            </w:r>
          </w:p>
        </w:tc>
        <w:tc>
          <w:tcPr>
            <w:tcW w:w="2268" w:type="dxa"/>
            <w:shd w:val="clear" w:color="auto" w:fill="auto"/>
          </w:tcPr>
          <w:p w14:paraId="4FB5EC0D" w14:textId="77777777" w:rsidR="008238E6" w:rsidRDefault="00D61AB3">
            <w:pPr>
              <w:spacing w:before="120" w:after="120"/>
              <w:jc w:val="center"/>
              <w:rPr>
                <w:sz w:val="20"/>
                <w:szCs w:val="20"/>
              </w:rPr>
            </w:pPr>
            <w:r>
              <w:rPr>
                <w:sz w:val="20"/>
                <w:szCs w:val="20"/>
              </w:rPr>
              <w:t>não informado</w:t>
            </w:r>
          </w:p>
        </w:tc>
        <w:tc>
          <w:tcPr>
            <w:tcW w:w="2663" w:type="dxa"/>
          </w:tcPr>
          <w:p w14:paraId="4FB5EC0E" w14:textId="77777777" w:rsidR="008238E6" w:rsidRDefault="00D61AB3">
            <w:pPr>
              <w:spacing w:before="120" w:after="120"/>
              <w:jc w:val="center"/>
              <w:rPr>
                <w:sz w:val="20"/>
                <w:szCs w:val="20"/>
              </w:rPr>
            </w:pPr>
            <w:r>
              <w:rPr>
                <w:sz w:val="20"/>
                <w:szCs w:val="20"/>
              </w:rPr>
              <w:t>Inadequado</w:t>
            </w:r>
          </w:p>
        </w:tc>
        <w:tc>
          <w:tcPr>
            <w:tcW w:w="2723" w:type="dxa"/>
          </w:tcPr>
          <w:p w14:paraId="4FB5EC0F" w14:textId="77777777" w:rsidR="008238E6" w:rsidRDefault="00D61AB3">
            <w:pPr>
              <w:spacing w:before="120" w:after="120"/>
              <w:jc w:val="center"/>
              <w:rPr>
                <w:sz w:val="20"/>
                <w:szCs w:val="20"/>
              </w:rPr>
            </w:pPr>
            <w:r>
              <w:rPr>
                <w:sz w:val="20"/>
                <w:szCs w:val="20"/>
              </w:rPr>
              <w:t>Um revisor</w:t>
            </w:r>
          </w:p>
        </w:tc>
      </w:tr>
    </w:tbl>
    <w:p w14:paraId="4FB5EC11" w14:textId="77777777" w:rsidR="008238E6" w:rsidRDefault="008238E6">
      <w:pPr>
        <w:pBdr>
          <w:top w:val="nil"/>
          <w:left w:val="nil"/>
          <w:bottom w:val="nil"/>
          <w:right w:val="nil"/>
          <w:between w:val="nil"/>
        </w:pBdr>
        <w:spacing w:before="120" w:after="120" w:line="240" w:lineRule="auto"/>
        <w:rPr>
          <w:i/>
          <w:color w:val="FF0000"/>
        </w:rPr>
      </w:pPr>
    </w:p>
    <w:p w14:paraId="4FB5EC12" w14:textId="77777777" w:rsidR="008238E6" w:rsidRDefault="008238E6">
      <w:pPr>
        <w:rPr>
          <w:smallCaps/>
          <w:highlight w:val="cyan"/>
        </w:rPr>
      </w:pPr>
    </w:p>
    <w:tbl>
      <w:tblPr>
        <w:tblStyle w:val="affffff3"/>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C14" w14:textId="77777777">
        <w:trPr>
          <w:trHeight w:val="416"/>
        </w:trPr>
        <w:tc>
          <w:tcPr>
            <w:tcW w:w="9072" w:type="dxa"/>
            <w:shd w:val="clear" w:color="auto" w:fill="D9E2F3"/>
            <w:vAlign w:val="center"/>
          </w:tcPr>
          <w:p w14:paraId="4FB5EC13" w14:textId="77777777" w:rsidR="008238E6" w:rsidRDefault="00D61AB3">
            <w:pPr>
              <w:spacing w:before="120" w:after="120"/>
              <w:jc w:val="center"/>
              <w:rPr>
                <w:b/>
              </w:rPr>
            </w:pPr>
            <w:r>
              <w:rPr>
                <w:b/>
              </w:rPr>
              <w:t>Comentários adicionais sobre as características do processo de avaliação do risco de viés ou qualidade metodológica dos estudos incluídos</w:t>
            </w:r>
          </w:p>
        </w:tc>
      </w:tr>
      <w:tr w:rsidR="008238E6" w14:paraId="4FB5EC16" w14:textId="77777777">
        <w:trPr>
          <w:trHeight w:val="750"/>
        </w:trPr>
        <w:tc>
          <w:tcPr>
            <w:tcW w:w="9072" w:type="dxa"/>
            <w:vAlign w:val="center"/>
          </w:tcPr>
          <w:p w14:paraId="4FB5EC15" w14:textId="77777777" w:rsidR="008238E6" w:rsidRDefault="00D61AB3">
            <w:pPr>
              <w:spacing w:before="120" w:after="120"/>
            </w:pPr>
            <w:r>
              <w:t xml:space="preserve">O PROPONENTE utilizou a ferramenta RoB-2 para avaliar o risco de viés do ensaio clínico randomizado (ECR) incluído, enquanto um </w:t>
            </w:r>
            <w:r w:rsidRPr="00D069A2">
              <w:rPr>
                <w:i/>
              </w:rPr>
              <w:t>check-list</w:t>
            </w:r>
            <w:r>
              <w:t xml:space="preserve"> JBI foi aplicado aos demais estudos. Essa abordagem foi considerada parcialmente adequada pelos PARECERISTAS. A Diretriz para a elaboração de Protocolos de Tratamento Clínico (PTC) do Ministério da Saúde recomenda, com base na validade e confiabilidade das escalas, a utilização das seguintes ferramentas: AMSTAR-2 para revisões sistemáticas; a avaliação de risco de viés da Cochrane (RoB 2.0) para ensaios clínicos randomizados; QUADAS-2 para estudos de acurácia diagnóstica; Newcastle-Ottawa para estudos observacionais comparativos (incluindo coortes e estudos caso-controle); e ROBINS-I para estudos comparativos não randomizados que visam avaliar os efeitos de uma intervenção, abrangendo coortes, estudos caso-controle, ensaios clínicos não randomizados ou quasi-randomizados. Portanto, as ferramentas mais adequadas para avaliar os estudos de coorte incluídos seriam a Newcastle-Ottawa Scale (NOS) ou a ROBINS-I. Os PARECERISTAS optaram por utilizar a ROBINS-I para a avaliação do risco de viés dos estudos incluídos.</w:t>
            </w:r>
          </w:p>
        </w:tc>
      </w:tr>
    </w:tbl>
    <w:p w14:paraId="4FB5EC17" w14:textId="77777777" w:rsidR="008238E6" w:rsidRDefault="008238E6">
      <w:pPr>
        <w:rPr>
          <w:smallCaps/>
          <w:highlight w:val="cyan"/>
        </w:rPr>
      </w:pPr>
    </w:p>
    <w:p w14:paraId="4FB5EC18" w14:textId="77777777" w:rsidR="008238E6" w:rsidRDefault="008238E6">
      <w:pPr>
        <w:spacing w:before="0" w:after="160" w:line="259" w:lineRule="auto"/>
        <w:jc w:val="center"/>
        <w:rPr>
          <w:b/>
        </w:rPr>
      </w:pPr>
    </w:p>
    <w:p w14:paraId="4FB5EC19" w14:textId="77777777" w:rsidR="008238E6" w:rsidRDefault="008238E6">
      <w:pPr>
        <w:spacing w:before="0" w:after="160" w:line="259" w:lineRule="auto"/>
        <w:jc w:val="center"/>
        <w:rPr>
          <w:b/>
        </w:rPr>
      </w:pPr>
    </w:p>
    <w:p w14:paraId="4FB5EC1A" w14:textId="77777777" w:rsidR="008238E6" w:rsidRDefault="008238E6">
      <w:pPr>
        <w:spacing w:before="0" w:after="160" w:line="259" w:lineRule="auto"/>
        <w:jc w:val="center"/>
        <w:rPr>
          <w:b/>
        </w:rPr>
      </w:pPr>
    </w:p>
    <w:p w14:paraId="4FB5EC1B" w14:textId="77777777" w:rsidR="008238E6" w:rsidRDefault="00D61AB3">
      <w:pPr>
        <w:pStyle w:val="Heading4"/>
        <w:spacing w:before="0" w:after="160" w:line="259" w:lineRule="auto"/>
      </w:pPr>
      <w:bookmarkStart w:id="41" w:name="_heading=h.2ymzovgyy5kl" w:colFirst="0" w:colLast="0"/>
      <w:bookmarkEnd w:id="41"/>
      <w:r>
        <w:rPr>
          <w:b/>
        </w:rPr>
        <w:t>Quadro 16.</w:t>
      </w:r>
      <w:r>
        <w:t xml:space="preserve"> Risco de viés ou qualidade metodológica dos estudos incluídos apresentado pelo PROPONENTE.</w:t>
      </w:r>
    </w:p>
    <w:p w14:paraId="4FB5EC1C" w14:textId="77777777" w:rsidR="008238E6" w:rsidRDefault="00D61AB3">
      <w:pPr>
        <w:rPr>
          <w:smallCaps/>
        </w:rPr>
      </w:pPr>
      <w:r>
        <w:rPr>
          <w:smallCaps/>
          <w:noProof/>
        </w:rPr>
        <w:drawing>
          <wp:inline distT="114300" distB="114300" distL="114300" distR="114300" wp14:anchorId="4FB5F359" wp14:editId="4FB5F35A">
            <wp:extent cx="5759140" cy="2146300"/>
            <wp:effectExtent l="0" t="0" r="0" b="0"/>
            <wp:docPr id="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4"/>
                    <a:srcRect/>
                    <a:stretch>
                      <a:fillRect/>
                    </a:stretch>
                  </pic:blipFill>
                  <pic:spPr>
                    <a:xfrm>
                      <a:off x="0" y="0"/>
                      <a:ext cx="5759140" cy="2146300"/>
                    </a:xfrm>
                    <a:prstGeom prst="rect">
                      <a:avLst/>
                    </a:prstGeom>
                    <a:ln/>
                  </pic:spPr>
                </pic:pic>
              </a:graphicData>
            </a:graphic>
          </wp:inline>
        </w:drawing>
      </w:r>
    </w:p>
    <w:p w14:paraId="4FB5EC1D" w14:textId="77777777" w:rsidR="008238E6" w:rsidRDefault="00D61AB3">
      <w:pPr>
        <w:spacing w:before="0" w:after="160" w:line="259" w:lineRule="auto"/>
        <w:jc w:val="center"/>
        <w:rPr>
          <w:b/>
        </w:rPr>
      </w:pPr>
      <w:r>
        <w:rPr>
          <w:b/>
        </w:rPr>
        <w:t>Utilização da ferramenta Joana Briggs pelo PROPONENTE para a avaliação dos estudos</w:t>
      </w:r>
    </w:p>
    <w:p w14:paraId="4FB5EC1E" w14:textId="77777777" w:rsidR="008238E6" w:rsidRDefault="00D61AB3">
      <w:pPr>
        <w:spacing w:before="0" w:after="160" w:line="259" w:lineRule="auto"/>
        <w:jc w:val="center"/>
        <w:rPr>
          <w:b/>
        </w:rPr>
      </w:pPr>
      <w:r>
        <w:rPr>
          <w:b/>
          <w:noProof/>
        </w:rPr>
        <w:drawing>
          <wp:inline distT="114300" distB="114300" distL="114300" distR="114300" wp14:anchorId="4FB5F35B" wp14:editId="4FB5F35C">
            <wp:extent cx="5581650" cy="7010400"/>
            <wp:effectExtent l="0" t="0" r="0" b="0"/>
            <wp:docPr id="6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581650" cy="7010400"/>
                    </a:xfrm>
                    <a:prstGeom prst="rect">
                      <a:avLst/>
                    </a:prstGeom>
                    <a:ln/>
                  </pic:spPr>
                </pic:pic>
              </a:graphicData>
            </a:graphic>
          </wp:inline>
        </w:drawing>
      </w:r>
    </w:p>
    <w:p w14:paraId="4FB5EC1F" w14:textId="77777777" w:rsidR="008238E6" w:rsidRDefault="00D61AB3">
      <w:pPr>
        <w:spacing w:before="0" w:after="160" w:line="259" w:lineRule="auto"/>
        <w:jc w:val="center"/>
        <w:rPr>
          <w:b/>
        </w:rPr>
      </w:pPr>
      <w:r>
        <w:rPr>
          <w:b/>
          <w:noProof/>
        </w:rPr>
        <w:drawing>
          <wp:inline distT="114300" distB="114300" distL="114300" distR="114300" wp14:anchorId="4FB5F35D" wp14:editId="4FB5F35E">
            <wp:extent cx="5759140" cy="2400300"/>
            <wp:effectExtent l="0" t="0" r="0" b="0"/>
            <wp:docPr id="6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6"/>
                    <a:srcRect/>
                    <a:stretch>
                      <a:fillRect/>
                    </a:stretch>
                  </pic:blipFill>
                  <pic:spPr>
                    <a:xfrm>
                      <a:off x="0" y="0"/>
                      <a:ext cx="5759140" cy="2400300"/>
                    </a:xfrm>
                    <a:prstGeom prst="rect">
                      <a:avLst/>
                    </a:prstGeom>
                    <a:ln/>
                  </pic:spPr>
                </pic:pic>
              </a:graphicData>
            </a:graphic>
          </wp:inline>
        </w:drawing>
      </w:r>
    </w:p>
    <w:p w14:paraId="4FB5EC20" w14:textId="77777777" w:rsidR="008238E6" w:rsidRDefault="00D61AB3">
      <w:pPr>
        <w:spacing w:before="0" w:after="160" w:line="259" w:lineRule="auto"/>
        <w:jc w:val="center"/>
        <w:rPr>
          <w:b/>
        </w:rPr>
      </w:pPr>
      <w:r>
        <w:rPr>
          <w:b/>
          <w:noProof/>
        </w:rPr>
        <w:drawing>
          <wp:inline distT="114300" distB="114300" distL="114300" distR="114300" wp14:anchorId="4FB5F35F" wp14:editId="4FB5F360">
            <wp:extent cx="5759140" cy="2362200"/>
            <wp:effectExtent l="0" t="0" r="0" b="0"/>
            <wp:docPr id="6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7"/>
                    <a:srcRect/>
                    <a:stretch>
                      <a:fillRect/>
                    </a:stretch>
                  </pic:blipFill>
                  <pic:spPr>
                    <a:xfrm>
                      <a:off x="0" y="0"/>
                      <a:ext cx="5759140" cy="2362200"/>
                    </a:xfrm>
                    <a:prstGeom prst="rect">
                      <a:avLst/>
                    </a:prstGeom>
                    <a:ln/>
                  </pic:spPr>
                </pic:pic>
              </a:graphicData>
            </a:graphic>
          </wp:inline>
        </w:drawing>
      </w:r>
    </w:p>
    <w:p w14:paraId="4FB5EC21" w14:textId="77777777" w:rsidR="008238E6" w:rsidRDefault="00D61AB3">
      <w:pPr>
        <w:spacing w:before="0" w:after="160" w:line="259" w:lineRule="auto"/>
        <w:jc w:val="center"/>
        <w:rPr>
          <w:b/>
        </w:rPr>
      </w:pPr>
      <w:r>
        <w:rPr>
          <w:b/>
          <w:noProof/>
        </w:rPr>
        <w:drawing>
          <wp:inline distT="114300" distB="114300" distL="114300" distR="114300" wp14:anchorId="4FB5F361" wp14:editId="4FB5F362">
            <wp:extent cx="5759140" cy="2298700"/>
            <wp:effectExtent l="0" t="0" r="0" b="0"/>
            <wp:docPr id="6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8"/>
                    <a:srcRect/>
                    <a:stretch>
                      <a:fillRect/>
                    </a:stretch>
                  </pic:blipFill>
                  <pic:spPr>
                    <a:xfrm>
                      <a:off x="0" y="0"/>
                      <a:ext cx="5759140" cy="2298700"/>
                    </a:xfrm>
                    <a:prstGeom prst="rect">
                      <a:avLst/>
                    </a:prstGeom>
                    <a:ln/>
                  </pic:spPr>
                </pic:pic>
              </a:graphicData>
            </a:graphic>
          </wp:inline>
        </w:drawing>
      </w:r>
    </w:p>
    <w:p w14:paraId="4FB5EC22" w14:textId="77777777" w:rsidR="008238E6" w:rsidRDefault="00D61AB3">
      <w:pPr>
        <w:spacing w:before="0" w:after="160" w:line="259" w:lineRule="auto"/>
        <w:jc w:val="center"/>
        <w:rPr>
          <w:b/>
        </w:rPr>
      </w:pPr>
      <w:r>
        <w:rPr>
          <w:b/>
          <w:noProof/>
        </w:rPr>
        <w:drawing>
          <wp:inline distT="114300" distB="114300" distL="114300" distR="114300" wp14:anchorId="4FB5F363" wp14:editId="4FB5F364">
            <wp:extent cx="5759140" cy="3149600"/>
            <wp:effectExtent l="0" t="0" r="0" b="0"/>
            <wp:docPr id="7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9"/>
                    <a:srcRect/>
                    <a:stretch>
                      <a:fillRect/>
                    </a:stretch>
                  </pic:blipFill>
                  <pic:spPr>
                    <a:xfrm>
                      <a:off x="0" y="0"/>
                      <a:ext cx="5759140" cy="3149600"/>
                    </a:xfrm>
                    <a:prstGeom prst="rect">
                      <a:avLst/>
                    </a:prstGeom>
                    <a:ln/>
                  </pic:spPr>
                </pic:pic>
              </a:graphicData>
            </a:graphic>
          </wp:inline>
        </w:drawing>
      </w:r>
    </w:p>
    <w:p w14:paraId="4FB5EC23" w14:textId="77777777" w:rsidR="008238E6" w:rsidRDefault="008238E6">
      <w:pPr>
        <w:spacing w:before="0" w:after="160" w:line="259" w:lineRule="auto"/>
        <w:jc w:val="center"/>
        <w:rPr>
          <w:b/>
        </w:rPr>
      </w:pPr>
    </w:p>
    <w:p w14:paraId="4FB5EC24" w14:textId="77777777" w:rsidR="008238E6" w:rsidRDefault="00D61AB3">
      <w:pPr>
        <w:pStyle w:val="Heading4"/>
        <w:spacing w:before="0" w:after="160" w:line="259" w:lineRule="auto"/>
      </w:pPr>
      <w:bookmarkStart w:id="42" w:name="_heading=h.jh85hxl3tubk" w:colFirst="0" w:colLast="0"/>
      <w:bookmarkEnd w:id="42"/>
      <w:r>
        <w:rPr>
          <w:b/>
        </w:rPr>
        <w:t>Quadro 17.</w:t>
      </w:r>
      <w:r>
        <w:t xml:space="preserve"> Risco de viés ou qualidade metodológica dos estudos incluídos na análise do PARECERISTA - ROBINS-I.</w:t>
      </w:r>
    </w:p>
    <w:tbl>
      <w:tblPr>
        <w:tblStyle w:val="affffff4"/>
        <w:tblW w:w="9360" w:type="dxa"/>
        <w:tblInd w:w="-135"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560"/>
        <w:gridCol w:w="3945"/>
        <w:gridCol w:w="3855"/>
      </w:tblGrid>
      <w:tr w:rsidR="008238E6" w14:paraId="4FB5EC28" w14:textId="77777777">
        <w:tc>
          <w:tcPr>
            <w:tcW w:w="1560" w:type="dxa"/>
            <w:tcBorders>
              <w:top w:val="single" w:sz="6" w:space="0" w:color="000000"/>
              <w:left w:val="single" w:sz="6" w:space="0" w:color="000000"/>
              <w:bottom w:val="single" w:sz="6" w:space="0" w:color="000000"/>
              <w:right w:val="single" w:sz="6" w:space="0" w:color="000000"/>
            </w:tcBorders>
            <w:shd w:val="clear" w:color="auto" w:fill="D9E2F3"/>
          </w:tcPr>
          <w:p w14:paraId="4FB5EC25" w14:textId="77777777" w:rsidR="008238E6" w:rsidRDefault="00D61AB3">
            <w:pPr>
              <w:spacing w:before="120" w:after="120"/>
              <w:jc w:val="center"/>
              <w:rPr>
                <w:rFonts w:ascii="Quattrocento Sans" w:eastAsia="Quattrocento Sans" w:hAnsi="Quattrocento Sans" w:cs="Quattrocento Sans"/>
                <w:sz w:val="18"/>
                <w:szCs w:val="18"/>
              </w:rPr>
            </w:pPr>
            <w:r>
              <w:rPr>
                <w:b/>
                <w:sz w:val="18"/>
                <w:szCs w:val="18"/>
              </w:rPr>
              <w:t>Estudo</w:t>
            </w:r>
          </w:p>
        </w:tc>
        <w:tc>
          <w:tcPr>
            <w:tcW w:w="3945" w:type="dxa"/>
            <w:tcBorders>
              <w:top w:val="single" w:sz="6" w:space="0" w:color="000000"/>
              <w:left w:val="nil"/>
              <w:bottom w:val="single" w:sz="6" w:space="0" w:color="000000"/>
              <w:right w:val="single" w:sz="6" w:space="0" w:color="000000"/>
            </w:tcBorders>
            <w:shd w:val="clear" w:color="auto" w:fill="D9E2F3"/>
          </w:tcPr>
          <w:p w14:paraId="4FB5EC26" w14:textId="77777777" w:rsidR="008238E6" w:rsidRDefault="00D61AB3">
            <w:pPr>
              <w:spacing w:before="120" w:after="120"/>
              <w:jc w:val="center"/>
              <w:rPr>
                <w:rFonts w:ascii="Quattrocento Sans" w:eastAsia="Quattrocento Sans" w:hAnsi="Quattrocento Sans" w:cs="Quattrocento Sans"/>
                <w:sz w:val="18"/>
                <w:szCs w:val="18"/>
              </w:rPr>
            </w:pPr>
            <w:r>
              <w:rPr>
                <w:b/>
                <w:sz w:val="18"/>
                <w:szCs w:val="18"/>
              </w:rPr>
              <w:t>Shepherd, 2018</w:t>
            </w:r>
          </w:p>
        </w:tc>
        <w:tc>
          <w:tcPr>
            <w:tcW w:w="3855" w:type="dxa"/>
            <w:tcBorders>
              <w:top w:val="single" w:sz="6" w:space="0" w:color="000000"/>
              <w:left w:val="nil"/>
              <w:bottom w:val="single" w:sz="6" w:space="0" w:color="000000"/>
              <w:right w:val="single" w:sz="6" w:space="0" w:color="000000"/>
            </w:tcBorders>
            <w:shd w:val="clear" w:color="auto" w:fill="D9E2F3"/>
          </w:tcPr>
          <w:p w14:paraId="4FB5EC27" w14:textId="77777777" w:rsidR="008238E6" w:rsidRDefault="00D61AB3">
            <w:pPr>
              <w:spacing w:before="120" w:after="120"/>
              <w:jc w:val="center"/>
              <w:rPr>
                <w:rFonts w:ascii="Quattrocento Sans" w:eastAsia="Quattrocento Sans" w:hAnsi="Quattrocento Sans" w:cs="Quattrocento Sans"/>
                <w:sz w:val="18"/>
                <w:szCs w:val="18"/>
              </w:rPr>
            </w:pPr>
            <w:r>
              <w:rPr>
                <w:b/>
                <w:sz w:val="18"/>
                <w:szCs w:val="18"/>
              </w:rPr>
              <w:t>Shepherd, 2009</w:t>
            </w:r>
          </w:p>
        </w:tc>
      </w:tr>
      <w:tr w:rsidR="008238E6" w14:paraId="4FB5EC2E" w14:textId="77777777">
        <w:trPr>
          <w:trHeight w:val="300"/>
        </w:trPr>
        <w:tc>
          <w:tcPr>
            <w:tcW w:w="1560" w:type="dxa"/>
            <w:tcBorders>
              <w:top w:val="nil"/>
              <w:left w:val="single" w:sz="6" w:space="0" w:color="000000"/>
              <w:bottom w:val="single" w:sz="6" w:space="0" w:color="000000"/>
              <w:right w:val="single" w:sz="6" w:space="0" w:color="000000"/>
            </w:tcBorders>
            <w:shd w:val="clear" w:color="auto" w:fill="auto"/>
          </w:tcPr>
          <w:p w14:paraId="4FB5EC29"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devido a confusão</w:t>
            </w:r>
          </w:p>
        </w:tc>
        <w:tc>
          <w:tcPr>
            <w:tcW w:w="3945" w:type="dxa"/>
            <w:tcBorders>
              <w:top w:val="nil"/>
              <w:left w:val="nil"/>
              <w:bottom w:val="single" w:sz="6" w:space="0" w:color="000000"/>
              <w:right w:val="single" w:sz="6" w:space="0" w:color="000000"/>
            </w:tcBorders>
            <w:shd w:val="clear" w:color="auto" w:fill="auto"/>
          </w:tcPr>
          <w:p w14:paraId="4FB5EC2A"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Risco moderado</w:t>
            </w:r>
          </w:p>
          <w:p w14:paraId="4FB5EC2B" w14:textId="77777777" w:rsidR="008238E6" w:rsidRDefault="00D61AB3">
            <w:pPr>
              <w:spacing w:before="120" w:after="120"/>
              <w:rPr>
                <w:rFonts w:ascii="Quattrocento Sans" w:eastAsia="Quattrocento Sans" w:hAnsi="Quattrocento Sans" w:cs="Quattrocento Sans"/>
                <w:sz w:val="18"/>
                <w:szCs w:val="18"/>
              </w:rPr>
            </w:pPr>
            <w:r>
              <w:rPr>
                <w:sz w:val="18"/>
                <w:szCs w:val="18"/>
              </w:rPr>
              <w:t xml:space="preserve">Justificativa: </w:t>
            </w:r>
            <w:r>
              <w:rPr>
                <w:i/>
                <w:sz w:val="18"/>
                <w:szCs w:val="18"/>
              </w:rPr>
              <w:t>O estudo envolve indivíduos com diferentes subtipos de MODY, e fatores como duração do diabetes, HbA1c e IMC podem influenciar o sucesso do tratamento. Portanto, há potencial para confusão.</w:t>
            </w:r>
          </w:p>
        </w:tc>
        <w:tc>
          <w:tcPr>
            <w:tcW w:w="3855" w:type="dxa"/>
            <w:tcBorders>
              <w:top w:val="nil"/>
              <w:left w:val="nil"/>
              <w:bottom w:val="single" w:sz="6" w:space="0" w:color="000000"/>
              <w:right w:val="single" w:sz="6" w:space="0" w:color="000000"/>
            </w:tcBorders>
            <w:shd w:val="clear" w:color="auto" w:fill="auto"/>
          </w:tcPr>
          <w:p w14:paraId="4FB5EC2C"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Risco moderado</w:t>
            </w:r>
          </w:p>
          <w:p w14:paraId="4FB5EC2D"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Considerando a falta de controle sobre variáveis pós-intervenção e a variação temporal dos fatores. O estudo envolve intervenções que podem ser influenciadas por fatores prognósticos, como a duração da diabetes e características demográficas dos pacientes.</w:t>
            </w:r>
          </w:p>
        </w:tc>
      </w:tr>
      <w:tr w:rsidR="008238E6" w14:paraId="4FB5EC34" w14:textId="77777777">
        <w:tc>
          <w:tcPr>
            <w:tcW w:w="1560" w:type="dxa"/>
            <w:tcBorders>
              <w:top w:val="nil"/>
              <w:left w:val="single" w:sz="6" w:space="0" w:color="000000"/>
              <w:bottom w:val="single" w:sz="6" w:space="0" w:color="000000"/>
              <w:right w:val="single" w:sz="6" w:space="0" w:color="000000"/>
            </w:tcBorders>
            <w:shd w:val="clear" w:color="auto" w:fill="auto"/>
          </w:tcPr>
          <w:p w14:paraId="4FB5EC2F"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na seleção de participantes</w:t>
            </w:r>
          </w:p>
        </w:tc>
        <w:tc>
          <w:tcPr>
            <w:tcW w:w="3945" w:type="dxa"/>
            <w:tcBorders>
              <w:top w:val="nil"/>
              <w:left w:val="nil"/>
              <w:bottom w:val="single" w:sz="6" w:space="0" w:color="000000"/>
              <w:right w:val="single" w:sz="6" w:space="0" w:color="000000"/>
            </w:tcBorders>
            <w:shd w:val="clear" w:color="auto" w:fill="auto"/>
          </w:tcPr>
          <w:p w14:paraId="4FB5EC30"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w:t>
            </w:r>
          </w:p>
          <w:p w14:paraId="4FB5EC31"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Os participantes foram selecionados com base em critérios pré-definidos antes do início da intervenção, como a confirmação genética de MODY e o tratamento atual.</w:t>
            </w:r>
          </w:p>
        </w:tc>
        <w:tc>
          <w:tcPr>
            <w:tcW w:w="3855" w:type="dxa"/>
            <w:tcBorders>
              <w:top w:val="nil"/>
              <w:left w:val="nil"/>
              <w:bottom w:val="single" w:sz="6" w:space="0" w:color="000000"/>
              <w:right w:val="single" w:sz="6" w:space="0" w:color="000000"/>
            </w:tcBorders>
            <w:shd w:val="clear" w:color="auto" w:fill="auto"/>
          </w:tcPr>
          <w:p w14:paraId="4FB5EC32"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w:t>
            </w:r>
          </w:p>
          <w:p w14:paraId="4FB5EC33"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A seleção não foi influenciada por características observadas após a intervenção e o início do acompanhamento coincidiu com o início da intervenção.</w:t>
            </w:r>
          </w:p>
        </w:tc>
      </w:tr>
      <w:tr w:rsidR="008238E6" w14:paraId="4FB5EC3A" w14:textId="77777777">
        <w:trPr>
          <w:trHeight w:val="1023"/>
        </w:trPr>
        <w:tc>
          <w:tcPr>
            <w:tcW w:w="1560" w:type="dxa"/>
            <w:tcBorders>
              <w:top w:val="nil"/>
              <w:left w:val="single" w:sz="6" w:space="0" w:color="000000"/>
              <w:bottom w:val="single" w:sz="6" w:space="0" w:color="000000"/>
              <w:right w:val="single" w:sz="6" w:space="0" w:color="000000"/>
            </w:tcBorders>
            <w:shd w:val="clear" w:color="auto" w:fill="auto"/>
          </w:tcPr>
          <w:p w14:paraId="4FB5EC35"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na classificação de intervenções</w:t>
            </w:r>
          </w:p>
        </w:tc>
        <w:tc>
          <w:tcPr>
            <w:tcW w:w="3945" w:type="dxa"/>
            <w:tcBorders>
              <w:top w:val="nil"/>
              <w:left w:val="nil"/>
              <w:bottom w:val="single" w:sz="6" w:space="0" w:color="000000"/>
              <w:right w:val="single" w:sz="6" w:space="0" w:color="000000"/>
            </w:tcBorders>
            <w:shd w:val="clear" w:color="auto" w:fill="auto"/>
          </w:tcPr>
          <w:p w14:paraId="4FB5EC36" w14:textId="77777777" w:rsidR="008238E6" w:rsidRDefault="00D61AB3">
            <w:pPr>
              <w:spacing w:before="120" w:after="120"/>
              <w:jc w:val="center"/>
              <w:rPr>
                <w:rFonts w:ascii="Quattrocento Sans" w:eastAsia="Quattrocento Sans" w:hAnsi="Quattrocento Sans" w:cs="Quattrocento Sans"/>
                <w:i/>
                <w:sz w:val="18"/>
                <w:szCs w:val="18"/>
              </w:rPr>
            </w:pPr>
            <w:r>
              <w:rPr>
                <w:sz w:val="18"/>
                <w:szCs w:val="18"/>
              </w:rPr>
              <w:t>Baixo risco</w:t>
            </w:r>
          </w:p>
          <w:p w14:paraId="4FB5EC37"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Os grupos foram claramente definidos, as informações foram registradas no início da intervenção e a classificação não provavelmente não foi afetada pelo conhecimento do resultado.</w:t>
            </w:r>
          </w:p>
        </w:tc>
        <w:tc>
          <w:tcPr>
            <w:tcW w:w="3855" w:type="dxa"/>
            <w:tcBorders>
              <w:top w:val="nil"/>
              <w:left w:val="nil"/>
              <w:bottom w:val="single" w:sz="6" w:space="0" w:color="000000"/>
              <w:right w:val="single" w:sz="6" w:space="0" w:color="000000"/>
            </w:tcBorders>
            <w:shd w:val="clear" w:color="auto" w:fill="auto"/>
          </w:tcPr>
          <w:p w14:paraId="4FB5EC38" w14:textId="77777777" w:rsidR="008238E6" w:rsidRDefault="00D61AB3">
            <w:pPr>
              <w:spacing w:before="120" w:after="120"/>
              <w:jc w:val="center"/>
              <w:rPr>
                <w:rFonts w:ascii="Quattrocento Sans" w:eastAsia="Quattrocento Sans" w:hAnsi="Quattrocento Sans" w:cs="Quattrocento Sans"/>
                <w:i/>
                <w:sz w:val="18"/>
                <w:szCs w:val="18"/>
              </w:rPr>
            </w:pPr>
            <w:r>
              <w:rPr>
                <w:sz w:val="18"/>
                <w:szCs w:val="18"/>
              </w:rPr>
              <w:t>Baixo risco</w:t>
            </w:r>
          </w:p>
          <w:p w14:paraId="4FB5EC39"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grupos foram claramente definidos, as informações foram registradas no início da intervenção e a classificação provavelmente não foi afetada pelo conhecimento do resultado.</w:t>
            </w:r>
          </w:p>
        </w:tc>
      </w:tr>
      <w:tr w:rsidR="008238E6" w14:paraId="4FB5EC40" w14:textId="77777777">
        <w:tc>
          <w:tcPr>
            <w:tcW w:w="1560" w:type="dxa"/>
            <w:tcBorders>
              <w:top w:val="nil"/>
              <w:left w:val="single" w:sz="6" w:space="0" w:color="000000"/>
              <w:bottom w:val="single" w:sz="6" w:space="0" w:color="000000"/>
              <w:right w:val="single" w:sz="6" w:space="0" w:color="000000"/>
            </w:tcBorders>
            <w:shd w:val="clear" w:color="auto" w:fill="auto"/>
          </w:tcPr>
          <w:p w14:paraId="4FB5EC3B"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devido a desvios de intervenções planejadas</w:t>
            </w:r>
          </w:p>
        </w:tc>
        <w:tc>
          <w:tcPr>
            <w:tcW w:w="3945" w:type="dxa"/>
            <w:tcBorders>
              <w:top w:val="nil"/>
              <w:left w:val="nil"/>
              <w:bottom w:val="single" w:sz="6" w:space="0" w:color="000000"/>
              <w:right w:val="single" w:sz="6" w:space="0" w:color="000000"/>
            </w:tcBorders>
            <w:shd w:val="clear" w:color="auto" w:fill="auto"/>
          </w:tcPr>
          <w:p w14:paraId="4FB5EC3C"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Alto risco</w:t>
            </w:r>
          </w:p>
          <w:p w14:paraId="4FB5EC3D"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O estudo indicou que alguns participantes não seguiram estritamente as mudanças recomendadas, como ajustes nas medicações.</w:t>
            </w:r>
          </w:p>
        </w:tc>
        <w:tc>
          <w:tcPr>
            <w:tcW w:w="3855" w:type="dxa"/>
            <w:tcBorders>
              <w:top w:val="nil"/>
              <w:left w:val="nil"/>
              <w:bottom w:val="single" w:sz="6" w:space="0" w:color="000000"/>
              <w:right w:val="single" w:sz="6" w:space="0" w:color="000000"/>
            </w:tcBorders>
            <w:shd w:val="clear" w:color="auto" w:fill="auto"/>
          </w:tcPr>
          <w:p w14:paraId="4FB5EC3E"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Alto risco</w:t>
            </w:r>
          </w:p>
          <w:p w14:paraId="4FB5EC3F"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O estudo indicou que alguns participantes não seguiram estritamente as mudanças recomendadas, como ajustes nas medicações.</w:t>
            </w:r>
          </w:p>
        </w:tc>
      </w:tr>
      <w:tr w:rsidR="008238E6" w14:paraId="4FB5EC46" w14:textId="77777777">
        <w:tc>
          <w:tcPr>
            <w:tcW w:w="1560" w:type="dxa"/>
            <w:tcBorders>
              <w:top w:val="nil"/>
              <w:left w:val="single" w:sz="6" w:space="0" w:color="000000"/>
              <w:bottom w:val="single" w:sz="6" w:space="0" w:color="000000"/>
              <w:right w:val="single" w:sz="6" w:space="0" w:color="000000"/>
            </w:tcBorders>
            <w:shd w:val="clear" w:color="auto" w:fill="auto"/>
          </w:tcPr>
          <w:p w14:paraId="4FB5EC41"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devido a dados faltantes</w:t>
            </w:r>
          </w:p>
        </w:tc>
        <w:tc>
          <w:tcPr>
            <w:tcW w:w="3945" w:type="dxa"/>
            <w:tcBorders>
              <w:top w:val="nil"/>
              <w:left w:val="nil"/>
              <w:bottom w:val="single" w:sz="6" w:space="0" w:color="000000"/>
              <w:right w:val="single" w:sz="6" w:space="0" w:color="000000"/>
            </w:tcBorders>
            <w:shd w:val="clear" w:color="auto" w:fill="auto"/>
          </w:tcPr>
          <w:p w14:paraId="4FB5EC42"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 </w:t>
            </w:r>
          </w:p>
          <w:p w14:paraId="4FB5EC43" w14:textId="77777777" w:rsidR="008238E6" w:rsidRDefault="00D61AB3">
            <w:pPr>
              <w:spacing w:before="120" w:after="120"/>
              <w:rPr>
                <w:i/>
                <w:sz w:val="18"/>
                <w:szCs w:val="18"/>
              </w:rPr>
            </w:pPr>
            <w:r>
              <w:rPr>
                <w:i/>
                <w:sz w:val="18"/>
                <w:szCs w:val="18"/>
              </w:rPr>
              <w:t>Justificativa:Os dados estavam disponíveis para quase todos os pacientes</w:t>
            </w:r>
          </w:p>
        </w:tc>
        <w:tc>
          <w:tcPr>
            <w:tcW w:w="3855" w:type="dxa"/>
            <w:tcBorders>
              <w:top w:val="nil"/>
              <w:left w:val="nil"/>
              <w:bottom w:val="single" w:sz="6" w:space="0" w:color="000000"/>
              <w:right w:val="single" w:sz="6" w:space="0" w:color="000000"/>
            </w:tcBorders>
            <w:shd w:val="clear" w:color="auto" w:fill="auto"/>
          </w:tcPr>
          <w:p w14:paraId="4FB5EC44"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 </w:t>
            </w:r>
          </w:p>
          <w:p w14:paraId="4FB5EC45"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Justificativa:Os dados estavam disponíveis para quase todos os pacientes</w:t>
            </w:r>
          </w:p>
        </w:tc>
      </w:tr>
      <w:tr w:rsidR="008238E6" w14:paraId="4FB5EC4C" w14:textId="77777777">
        <w:tc>
          <w:tcPr>
            <w:tcW w:w="1560" w:type="dxa"/>
            <w:tcBorders>
              <w:top w:val="nil"/>
              <w:left w:val="single" w:sz="6" w:space="0" w:color="000000"/>
              <w:bottom w:val="single" w:sz="6" w:space="0" w:color="000000"/>
              <w:right w:val="single" w:sz="6" w:space="0" w:color="000000"/>
            </w:tcBorders>
            <w:shd w:val="clear" w:color="auto" w:fill="auto"/>
          </w:tcPr>
          <w:p w14:paraId="4FB5EC47"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na mensuração de desfechos</w:t>
            </w:r>
          </w:p>
        </w:tc>
        <w:tc>
          <w:tcPr>
            <w:tcW w:w="3945" w:type="dxa"/>
            <w:tcBorders>
              <w:top w:val="nil"/>
              <w:left w:val="nil"/>
              <w:bottom w:val="single" w:sz="6" w:space="0" w:color="000000"/>
              <w:right w:val="single" w:sz="6" w:space="0" w:color="000000"/>
            </w:tcBorders>
            <w:shd w:val="clear" w:color="auto" w:fill="auto"/>
          </w:tcPr>
          <w:p w14:paraId="4FB5EC48"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Risco moderado</w:t>
            </w:r>
          </w:p>
          <w:p w14:paraId="4FB5EC49" w14:textId="77777777" w:rsidR="008238E6" w:rsidRDefault="00D61AB3">
            <w:pPr>
              <w:spacing w:before="120" w:after="120"/>
              <w:rPr>
                <w:i/>
                <w:sz w:val="18"/>
                <w:szCs w:val="18"/>
              </w:rPr>
            </w:pPr>
            <w:r>
              <w:rPr>
                <w:i/>
                <w:sz w:val="18"/>
                <w:szCs w:val="18"/>
              </w:rPr>
              <w:t>Justificativa:Existe a possibilidade de que o conhecimento sobre a intervenção recebida tenha influenciado a percepção dos resultados pelos participantes e avaliadores.</w:t>
            </w:r>
          </w:p>
        </w:tc>
        <w:tc>
          <w:tcPr>
            <w:tcW w:w="3855" w:type="dxa"/>
            <w:tcBorders>
              <w:top w:val="nil"/>
              <w:left w:val="nil"/>
              <w:bottom w:val="single" w:sz="6" w:space="0" w:color="000000"/>
              <w:right w:val="single" w:sz="6" w:space="0" w:color="000000"/>
            </w:tcBorders>
            <w:shd w:val="clear" w:color="auto" w:fill="auto"/>
          </w:tcPr>
          <w:p w14:paraId="4FB5EC4A"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Risco moderado</w:t>
            </w:r>
          </w:p>
          <w:p w14:paraId="4FB5EC4B"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Justificativa:Existe a possibilidade de que o conhecimento sobre a intervenção recebida tenha influenciado a percepção dos resultados pelos participantes e avaliadores.</w:t>
            </w:r>
          </w:p>
        </w:tc>
      </w:tr>
      <w:tr w:rsidR="008238E6" w14:paraId="4FB5EC52" w14:textId="77777777">
        <w:tc>
          <w:tcPr>
            <w:tcW w:w="1560" w:type="dxa"/>
            <w:tcBorders>
              <w:top w:val="nil"/>
              <w:left w:val="single" w:sz="6" w:space="0" w:color="000000"/>
              <w:bottom w:val="single" w:sz="6" w:space="0" w:color="000000"/>
              <w:right w:val="single" w:sz="6" w:space="0" w:color="000000"/>
            </w:tcBorders>
            <w:shd w:val="clear" w:color="auto" w:fill="auto"/>
          </w:tcPr>
          <w:p w14:paraId="4FB5EC4D"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Viés na seleção dos resultados reportados</w:t>
            </w:r>
          </w:p>
        </w:tc>
        <w:tc>
          <w:tcPr>
            <w:tcW w:w="3945" w:type="dxa"/>
            <w:tcBorders>
              <w:top w:val="nil"/>
              <w:left w:val="nil"/>
              <w:bottom w:val="single" w:sz="6" w:space="0" w:color="000000"/>
              <w:right w:val="single" w:sz="6" w:space="0" w:color="000000"/>
            </w:tcBorders>
            <w:shd w:val="clear" w:color="auto" w:fill="auto"/>
          </w:tcPr>
          <w:p w14:paraId="4FB5EC4E"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 </w:t>
            </w:r>
          </w:p>
          <w:p w14:paraId="4FB5EC4F" w14:textId="77777777" w:rsidR="008238E6" w:rsidRDefault="00D61AB3">
            <w:pPr>
              <w:spacing w:before="120" w:after="120"/>
              <w:rPr>
                <w:rFonts w:ascii="Quattrocento Sans" w:eastAsia="Quattrocento Sans" w:hAnsi="Quattrocento Sans" w:cs="Quattrocento Sans"/>
                <w:i/>
                <w:sz w:val="18"/>
                <w:szCs w:val="18"/>
              </w:rPr>
            </w:pPr>
            <w:r>
              <w:rPr>
                <w:i/>
                <w:sz w:val="18"/>
                <w:szCs w:val="18"/>
              </w:rPr>
              <w:t>Justificativa: O estudo utilizou as mesma medidas e análises para os subtipos de pacientes MODY e antes e depois do teste genético</w:t>
            </w:r>
          </w:p>
        </w:tc>
        <w:tc>
          <w:tcPr>
            <w:tcW w:w="3855" w:type="dxa"/>
            <w:tcBorders>
              <w:top w:val="nil"/>
              <w:left w:val="nil"/>
              <w:bottom w:val="single" w:sz="6" w:space="0" w:color="000000"/>
              <w:right w:val="single" w:sz="6" w:space="0" w:color="000000"/>
            </w:tcBorders>
            <w:shd w:val="clear" w:color="auto" w:fill="auto"/>
          </w:tcPr>
          <w:p w14:paraId="4FB5EC50" w14:textId="77777777" w:rsidR="008238E6" w:rsidRDefault="00D61AB3">
            <w:pPr>
              <w:spacing w:before="120" w:after="120"/>
              <w:jc w:val="center"/>
              <w:rPr>
                <w:rFonts w:ascii="Quattrocento Sans" w:eastAsia="Quattrocento Sans" w:hAnsi="Quattrocento Sans" w:cs="Quattrocento Sans"/>
                <w:sz w:val="18"/>
                <w:szCs w:val="18"/>
              </w:rPr>
            </w:pPr>
            <w:r>
              <w:rPr>
                <w:sz w:val="18"/>
                <w:szCs w:val="18"/>
              </w:rPr>
              <w:t>Baixo risco </w:t>
            </w:r>
          </w:p>
          <w:p w14:paraId="4FB5EC51" w14:textId="77777777" w:rsidR="008238E6" w:rsidRDefault="00D61AB3">
            <w:pPr>
              <w:spacing w:before="120" w:after="120"/>
              <w:rPr>
                <w:sz w:val="18"/>
                <w:szCs w:val="18"/>
              </w:rPr>
            </w:pPr>
            <w:r>
              <w:rPr>
                <w:i/>
                <w:sz w:val="18"/>
                <w:szCs w:val="18"/>
              </w:rPr>
              <w:t>Justificativa: O estudo utilizou as mesma medidas e análises para os subtipos de pacientes MODY e antes e depois do teste genético</w:t>
            </w:r>
          </w:p>
        </w:tc>
      </w:tr>
      <w:tr w:rsidR="008238E6" w14:paraId="4FB5EC56" w14:textId="77777777">
        <w:tc>
          <w:tcPr>
            <w:tcW w:w="1560" w:type="dxa"/>
            <w:tcBorders>
              <w:top w:val="nil"/>
              <w:left w:val="single" w:sz="6" w:space="0" w:color="000000"/>
              <w:bottom w:val="single" w:sz="6" w:space="0" w:color="000000"/>
              <w:right w:val="single" w:sz="6" w:space="0" w:color="000000"/>
            </w:tcBorders>
            <w:shd w:val="clear" w:color="auto" w:fill="auto"/>
          </w:tcPr>
          <w:p w14:paraId="4FB5EC53" w14:textId="77777777" w:rsidR="008238E6" w:rsidRDefault="00D61AB3">
            <w:pPr>
              <w:spacing w:before="120" w:after="120"/>
              <w:jc w:val="center"/>
              <w:rPr>
                <w:sz w:val="18"/>
                <w:szCs w:val="18"/>
              </w:rPr>
            </w:pPr>
            <w:r>
              <w:rPr>
                <w:sz w:val="18"/>
                <w:szCs w:val="18"/>
              </w:rPr>
              <w:t>Risco de viés Global</w:t>
            </w:r>
          </w:p>
        </w:tc>
        <w:tc>
          <w:tcPr>
            <w:tcW w:w="3945" w:type="dxa"/>
            <w:tcBorders>
              <w:top w:val="nil"/>
              <w:left w:val="nil"/>
              <w:bottom w:val="single" w:sz="6" w:space="0" w:color="000000"/>
              <w:right w:val="single" w:sz="6" w:space="0" w:color="000000"/>
            </w:tcBorders>
            <w:shd w:val="clear" w:color="auto" w:fill="auto"/>
          </w:tcPr>
          <w:p w14:paraId="4FB5EC54" w14:textId="77777777" w:rsidR="008238E6" w:rsidRDefault="00D61AB3">
            <w:pPr>
              <w:spacing w:before="120" w:after="120"/>
              <w:jc w:val="center"/>
              <w:rPr>
                <w:sz w:val="18"/>
                <w:szCs w:val="18"/>
              </w:rPr>
            </w:pPr>
            <w:r>
              <w:rPr>
                <w:sz w:val="18"/>
                <w:szCs w:val="18"/>
              </w:rPr>
              <w:t>Alto risco</w:t>
            </w:r>
          </w:p>
        </w:tc>
        <w:tc>
          <w:tcPr>
            <w:tcW w:w="3855" w:type="dxa"/>
            <w:tcBorders>
              <w:top w:val="nil"/>
              <w:left w:val="nil"/>
              <w:bottom w:val="single" w:sz="6" w:space="0" w:color="000000"/>
              <w:right w:val="single" w:sz="6" w:space="0" w:color="000000"/>
            </w:tcBorders>
            <w:shd w:val="clear" w:color="auto" w:fill="auto"/>
          </w:tcPr>
          <w:p w14:paraId="4FB5EC55" w14:textId="77777777" w:rsidR="008238E6" w:rsidRDefault="00D61AB3">
            <w:pPr>
              <w:spacing w:before="120" w:after="120"/>
              <w:jc w:val="center"/>
              <w:rPr>
                <w:sz w:val="18"/>
                <w:szCs w:val="18"/>
              </w:rPr>
            </w:pPr>
            <w:r>
              <w:rPr>
                <w:sz w:val="18"/>
                <w:szCs w:val="18"/>
              </w:rPr>
              <w:t>Alto risco</w:t>
            </w:r>
          </w:p>
        </w:tc>
      </w:tr>
    </w:tbl>
    <w:p w14:paraId="4FB5EC57" w14:textId="77777777" w:rsidR="008238E6" w:rsidRDefault="008238E6">
      <w:pPr>
        <w:rPr>
          <w:smallCaps/>
          <w:highlight w:val="cyan"/>
        </w:rPr>
      </w:pPr>
    </w:p>
    <w:tbl>
      <w:tblPr>
        <w:tblStyle w:val="affffff5"/>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C59" w14:textId="77777777">
        <w:trPr>
          <w:trHeight w:val="416"/>
        </w:trPr>
        <w:tc>
          <w:tcPr>
            <w:tcW w:w="9072" w:type="dxa"/>
            <w:shd w:val="clear" w:color="auto" w:fill="D9E2F3"/>
            <w:vAlign w:val="center"/>
          </w:tcPr>
          <w:p w14:paraId="4FB5EC58" w14:textId="77777777" w:rsidR="008238E6" w:rsidRDefault="00D61AB3">
            <w:pPr>
              <w:spacing w:before="120" w:after="120"/>
              <w:jc w:val="center"/>
              <w:rPr>
                <w:b/>
              </w:rPr>
            </w:pPr>
            <w:r>
              <w:rPr>
                <w:b/>
              </w:rPr>
              <w:t>Comentários gerais sobre a avaliação do risco de viés ou qualidade metodológica dos estudos incluídos</w:t>
            </w:r>
          </w:p>
        </w:tc>
      </w:tr>
      <w:tr w:rsidR="008238E6" w14:paraId="4FB5EC5E" w14:textId="77777777">
        <w:trPr>
          <w:trHeight w:val="750"/>
        </w:trPr>
        <w:tc>
          <w:tcPr>
            <w:tcW w:w="9072" w:type="dxa"/>
            <w:vAlign w:val="center"/>
          </w:tcPr>
          <w:p w14:paraId="4FB5EC5A" w14:textId="77777777" w:rsidR="008238E6" w:rsidRDefault="00D61AB3">
            <w:pPr>
              <w:spacing w:before="120" w:after="120"/>
            </w:pPr>
            <w:r>
              <w:t>O PROPONENTE optou por empregar a ferramenta JBI para a avaliação das coortes, em detrimento do instrumento ROBINS-I, o que suscita questionamentos relevantes acerca da adequação dessa escolha metodológica. Embora a ferramenta JBI seja útil na análise de estudos observacionais, ela apresenta limitações que podem comprometer a profundidade e o rigor da avaliação.</w:t>
            </w:r>
          </w:p>
          <w:p w14:paraId="4FB5EC5B" w14:textId="77777777" w:rsidR="008238E6" w:rsidRDefault="00D61AB3">
            <w:pPr>
              <w:spacing w:before="120" w:after="120"/>
            </w:pPr>
            <w:r>
              <w:t>O ROBINS-I proporciona uma abordagem mais robusta para a análise de fatores de confusão e estratégias de controle, fundamentais para a interpretação adequada dos resultados em estudos observacionais. Assim, a decisão de utilizar a ferramenta JBI pode levar a conclusões menos confiáveis e a uma compreensão inadequada das intervenções analisadas.</w:t>
            </w:r>
          </w:p>
          <w:p w14:paraId="4FB5EC5C" w14:textId="77777777" w:rsidR="008238E6" w:rsidRDefault="00D61AB3">
            <w:pPr>
              <w:spacing w:before="120" w:after="120"/>
            </w:pPr>
            <w:r>
              <w:t>Adicionalmente, a ferramenta JBI é composta por 11 perguntas, mas o quadro demonstrativo da avaliação apresentado pelo PROPONENTE varia entre 6 e 8 perguntas em diferentes momentos, o que evidencia uma falta de transparência na aplicação do questionário.</w:t>
            </w:r>
          </w:p>
          <w:p w14:paraId="4FB5EC5D" w14:textId="77777777" w:rsidR="008238E6" w:rsidRDefault="00D61AB3">
            <w:pPr>
              <w:spacing w:before="120" w:after="120"/>
            </w:pPr>
            <w:r>
              <w:t>Na análise dos PARECERISTAS, ambos os estudos, embora apresentem uma estrutura adequada em vários aspectos, possuem limitações que devem ser consideradas na interpretação dos resultados. A ausência de aleatorização, o risco de viés decorrente de dados faltantes e a falta de cegamento constituem fatores críticos que podem comprometer tanto a validade interna quanto a validade externa dos achados.</w:t>
            </w:r>
          </w:p>
        </w:tc>
      </w:tr>
    </w:tbl>
    <w:p w14:paraId="4FB5EC5F" w14:textId="77777777" w:rsidR="008238E6" w:rsidRDefault="008238E6">
      <w:pPr>
        <w:rPr>
          <w:smallCaps/>
          <w:highlight w:val="cyan"/>
        </w:rPr>
      </w:pPr>
    </w:p>
    <w:p w14:paraId="4FB5EC60" w14:textId="77777777" w:rsidR="008238E6" w:rsidRDefault="00D61AB3">
      <w:pPr>
        <w:rPr>
          <w:b/>
          <w:sz w:val="24"/>
          <w:szCs w:val="24"/>
        </w:rPr>
      </w:pPr>
      <w:r>
        <w:rPr>
          <w:b/>
          <w:sz w:val="24"/>
          <w:szCs w:val="24"/>
        </w:rPr>
        <w:t xml:space="preserve">5.5.4 Certeza no conjunto final das evidências </w:t>
      </w:r>
    </w:p>
    <w:p w14:paraId="4FB5EC61" w14:textId="77777777" w:rsidR="008238E6" w:rsidRDefault="00D61AB3">
      <w:pPr>
        <w:pStyle w:val="Heading4"/>
        <w:spacing w:before="0" w:after="160" w:line="259" w:lineRule="auto"/>
      </w:pPr>
      <w:bookmarkStart w:id="43" w:name="_heading=h.m2aowlyysqu3" w:colFirst="0" w:colLast="0"/>
      <w:bookmarkEnd w:id="43"/>
      <w:r>
        <w:rPr>
          <w:b/>
        </w:rPr>
        <w:t>Quadro 18.</w:t>
      </w:r>
      <w:r>
        <w:t xml:space="preserve"> Avaliação da certeza no conjunto final das evidências (abordagem GRADE) apresentada pelo PROPONENTE. </w:t>
      </w:r>
    </w:p>
    <w:p w14:paraId="4FB5EC62" w14:textId="77777777" w:rsidR="008238E6" w:rsidRDefault="00D61AB3">
      <w:pPr>
        <w:spacing w:before="0" w:after="160" w:line="259" w:lineRule="auto"/>
        <w:jc w:val="center"/>
        <w:rPr>
          <w:i/>
          <w:color w:val="FF0000"/>
        </w:rPr>
      </w:pPr>
      <w:r>
        <w:rPr>
          <w:i/>
          <w:noProof/>
          <w:color w:val="FF0000"/>
        </w:rPr>
        <w:drawing>
          <wp:inline distT="114300" distB="114300" distL="114300" distR="114300" wp14:anchorId="4FB5F365" wp14:editId="4FB5F366">
            <wp:extent cx="5759140" cy="7620000"/>
            <wp:effectExtent l="0" t="0" r="0" b="0"/>
            <wp:docPr id="7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0"/>
                    <a:srcRect/>
                    <a:stretch>
                      <a:fillRect/>
                    </a:stretch>
                  </pic:blipFill>
                  <pic:spPr>
                    <a:xfrm>
                      <a:off x="0" y="0"/>
                      <a:ext cx="5759140" cy="7620000"/>
                    </a:xfrm>
                    <a:prstGeom prst="rect">
                      <a:avLst/>
                    </a:prstGeom>
                    <a:ln/>
                  </pic:spPr>
                </pic:pic>
              </a:graphicData>
            </a:graphic>
          </wp:inline>
        </w:drawing>
      </w:r>
    </w:p>
    <w:p w14:paraId="4FB5EC63" w14:textId="77777777" w:rsidR="008238E6" w:rsidRDefault="00D61AB3">
      <w:pPr>
        <w:spacing w:before="0" w:after="160" w:line="259" w:lineRule="auto"/>
        <w:jc w:val="center"/>
        <w:rPr>
          <w:smallCaps/>
          <w:highlight w:val="cyan"/>
        </w:rPr>
      </w:pPr>
      <w:r>
        <w:rPr>
          <w:i/>
          <w:noProof/>
          <w:color w:val="FF0000"/>
        </w:rPr>
        <w:drawing>
          <wp:inline distT="114300" distB="114300" distL="114300" distR="114300" wp14:anchorId="4FB5F367" wp14:editId="4FB5F368">
            <wp:extent cx="5759140" cy="838200"/>
            <wp:effectExtent l="0" t="0" r="0" b="0"/>
            <wp:docPr id="7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1"/>
                    <a:srcRect/>
                    <a:stretch>
                      <a:fillRect/>
                    </a:stretch>
                  </pic:blipFill>
                  <pic:spPr>
                    <a:xfrm>
                      <a:off x="0" y="0"/>
                      <a:ext cx="5759140" cy="838200"/>
                    </a:xfrm>
                    <a:prstGeom prst="rect">
                      <a:avLst/>
                    </a:prstGeom>
                    <a:ln/>
                  </pic:spPr>
                </pic:pic>
              </a:graphicData>
            </a:graphic>
          </wp:inline>
        </w:drawing>
      </w:r>
    </w:p>
    <w:p w14:paraId="4FB5EC64" w14:textId="77777777" w:rsidR="008238E6" w:rsidRDefault="00D61AB3">
      <w:pPr>
        <w:pStyle w:val="Heading4"/>
        <w:spacing w:before="0" w:after="160" w:line="259" w:lineRule="auto"/>
      </w:pPr>
      <w:bookmarkStart w:id="44" w:name="_heading=h.j4obtfhsnuhu" w:colFirst="0" w:colLast="0"/>
      <w:bookmarkEnd w:id="44"/>
      <w:r>
        <w:rPr>
          <w:b/>
        </w:rPr>
        <w:t xml:space="preserve">Quadro 19. </w:t>
      </w:r>
      <w:r>
        <w:t>Avaliação da certeza no conjunto final das evidências (abordagem GRADE) apresentada na análise do PARECERISTA.</w:t>
      </w:r>
    </w:p>
    <w:p w14:paraId="4FB5EC65" w14:textId="77777777" w:rsidR="008238E6" w:rsidRDefault="00D61AB3">
      <w:pPr>
        <w:spacing w:before="120" w:after="120" w:line="240" w:lineRule="auto"/>
        <w:jc w:val="center"/>
        <w:rPr>
          <w:b/>
          <w:color w:val="FF0000"/>
          <w:sz w:val="24"/>
          <w:szCs w:val="24"/>
        </w:rPr>
      </w:pPr>
      <w:r>
        <w:rPr>
          <w:noProof/>
        </w:rPr>
        <w:drawing>
          <wp:anchor distT="114300" distB="114300" distL="114300" distR="114300" simplePos="0" relativeHeight="251658245" behindDoc="0" locked="0" layoutInCell="1" hidden="0" allowOverlap="1" wp14:anchorId="4FB5F369" wp14:editId="4FB5F36A">
            <wp:simplePos x="0" y="0"/>
            <wp:positionH relativeFrom="column">
              <wp:posOffset>-676274</wp:posOffset>
            </wp:positionH>
            <wp:positionV relativeFrom="paragraph">
              <wp:posOffset>171450</wp:posOffset>
            </wp:positionV>
            <wp:extent cx="7239000" cy="3783823"/>
            <wp:effectExtent l="0" t="0" r="0" b="0"/>
            <wp:wrapTopAndBottom distT="114300" distB="114300"/>
            <wp:docPr id="5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2"/>
                    <a:srcRect t="6071"/>
                    <a:stretch>
                      <a:fillRect/>
                    </a:stretch>
                  </pic:blipFill>
                  <pic:spPr>
                    <a:xfrm>
                      <a:off x="0" y="0"/>
                      <a:ext cx="7239000" cy="3783823"/>
                    </a:xfrm>
                    <a:prstGeom prst="rect">
                      <a:avLst/>
                    </a:prstGeom>
                    <a:ln/>
                  </pic:spPr>
                </pic:pic>
              </a:graphicData>
            </a:graphic>
          </wp:anchor>
        </w:drawing>
      </w:r>
    </w:p>
    <w:p w14:paraId="4FB5EC66" w14:textId="77777777" w:rsidR="008238E6" w:rsidRDefault="008238E6">
      <w:pPr>
        <w:rPr>
          <w:smallCaps/>
        </w:rPr>
      </w:pPr>
    </w:p>
    <w:tbl>
      <w:tblPr>
        <w:tblStyle w:val="affffff6"/>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C68" w14:textId="77777777">
        <w:trPr>
          <w:trHeight w:val="416"/>
        </w:trPr>
        <w:tc>
          <w:tcPr>
            <w:tcW w:w="9072" w:type="dxa"/>
            <w:shd w:val="clear" w:color="auto" w:fill="D9E2F3"/>
            <w:vAlign w:val="center"/>
          </w:tcPr>
          <w:p w14:paraId="4FB5EC67" w14:textId="77777777" w:rsidR="008238E6" w:rsidRDefault="00D61AB3">
            <w:pPr>
              <w:spacing w:before="120" w:after="120"/>
              <w:jc w:val="center"/>
              <w:rPr>
                <w:b/>
              </w:rPr>
            </w:pPr>
            <w:bookmarkStart w:id="45" w:name="_heading=h.4f1mdlm" w:colFirst="0" w:colLast="0"/>
            <w:bookmarkEnd w:id="45"/>
            <w:r>
              <w:rPr>
                <w:b/>
              </w:rPr>
              <w:t>Comentários gerais sobre a avaliação da certeza no conjunto final das evidências</w:t>
            </w:r>
          </w:p>
        </w:tc>
      </w:tr>
      <w:tr w:rsidR="008238E6" w14:paraId="4FB5EC6B" w14:textId="77777777">
        <w:trPr>
          <w:trHeight w:val="750"/>
        </w:trPr>
        <w:tc>
          <w:tcPr>
            <w:tcW w:w="9072" w:type="dxa"/>
            <w:vAlign w:val="center"/>
          </w:tcPr>
          <w:p w14:paraId="4FB5EC69" w14:textId="77777777" w:rsidR="008238E6" w:rsidRDefault="00D61AB3">
            <w:pPr>
              <w:spacing w:before="120" w:after="120"/>
            </w:pPr>
            <w:r>
              <w:t>O PROPONENTE realizou a análise GRADE relacionada ao efeito da prescrição farmacoterapêutica sobre o controle glicêmico em diabéticos tipo MODY, que não se constitui na pergunta de pesquisa do parecer a fim de fundamentar a indicação do teste.  O foco da pergunta de pesquisa se refere à avaliação do impacto do teste genético na tomada de decisões terapêuticas e na modificação do tratamento desses pacientes, comparativamente à estratégia sem a tecnologia, baseada no diagnóstico clínico. No entanto, a análise apresentada concentra-se em dados sobre a eficácia de medicamentos, os quais, embora relevantes, não expressam propriamente a mudança no manejo clínico decorrente do teste. A ausência de uma correlação direta entre os desfechos avaliados e o teste genético compromete não apenas a interpretação dos resultados, mas também a sua aplicabilidade prática no contexto clínico.</w:t>
            </w:r>
          </w:p>
          <w:p w14:paraId="4FB5EC6A" w14:textId="77777777" w:rsidR="008238E6" w:rsidRDefault="00D61AB3">
            <w:pPr>
              <w:spacing w:before="120" w:after="120"/>
            </w:pPr>
            <w:r>
              <w:t>Os PARECERISTAS avaliaram o único desfecho selecionado para o qual há dados disponíveis nos estudos incluídos, qual seja, a mudança no tratamento farmacológico associado ao diagnóstico genético. Para esse desfecho verificou-se um baixo grau de certeza da evidência, em virtude do rebaixamento no domínio de risco de viés. Além disso, os desfechos relacionados ao controle glicêmico, aos efeitos adversos do tratamento e às complicações crônicas do diabetes não foram considerados pelos PARECERISTAS. No que diz respeito ao controle glicêmico, os resultados estavam disponíveis apenas para a população que realizou o teste genético e foram obtidos após a realização do teste. A ocorrência de complicações crônicas associadas ao diabetes não foi avaliada nos estudos.</w:t>
            </w:r>
          </w:p>
        </w:tc>
      </w:tr>
    </w:tbl>
    <w:p w14:paraId="4FB5EC6C" w14:textId="77777777" w:rsidR="008238E6" w:rsidRDefault="008238E6">
      <w:pPr>
        <w:rPr>
          <w:smallCaps/>
          <w:highlight w:val="cyan"/>
        </w:rPr>
      </w:pPr>
    </w:p>
    <w:p w14:paraId="4FB5EC6D" w14:textId="77777777" w:rsidR="008238E6" w:rsidRDefault="00D61AB3">
      <w:pPr>
        <w:pStyle w:val="Heading2"/>
      </w:pPr>
      <w:bookmarkStart w:id="46" w:name="_heading=h.2u6wntf" w:colFirst="0" w:colLast="0"/>
      <w:bookmarkEnd w:id="46"/>
      <w:r>
        <w:t>5.6 Discussão e conclusões</w:t>
      </w:r>
    </w:p>
    <w:p w14:paraId="4FB5EC6E" w14:textId="77777777" w:rsidR="008238E6" w:rsidRDefault="00D61AB3">
      <w:pPr>
        <w:pStyle w:val="Heading4"/>
      </w:pPr>
      <w:bookmarkStart w:id="47" w:name="_heading=h.la5vt2r3vax1" w:colFirst="0" w:colLast="0"/>
      <w:bookmarkEnd w:id="47"/>
      <w:r>
        <w:rPr>
          <w:b/>
        </w:rPr>
        <w:t>Quadro 20.</w:t>
      </w:r>
      <w:r>
        <w:t xml:space="preserve"> Componentes da discussão e das conclusões.</w:t>
      </w:r>
    </w:p>
    <w:tbl>
      <w:tblPr>
        <w:tblStyle w:val="affffff7"/>
        <w:tblW w:w="8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238E6" w14:paraId="4FB5EC72" w14:textId="77777777">
        <w:trPr>
          <w:trHeight w:val="454"/>
          <w:jc w:val="center"/>
        </w:trPr>
        <w:tc>
          <w:tcPr>
            <w:tcW w:w="2046" w:type="dxa"/>
            <w:shd w:val="clear" w:color="auto" w:fill="D9E2F3"/>
          </w:tcPr>
          <w:p w14:paraId="4FB5EC6F" w14:textId="77777777" w:rsidR="008238E6" w:rsidRDefault="00D61AB3">
            <w:pPr>
              <w:spacing w:before="120" w:after="120" w:line="240" w:lineRule="auto"/>
              <w:jc w:val="center"/>
              <w:rPr>
                <w:b/>
              </w:rPr>
            </w:pPr>
            <w:r>
              <w:rPr>
                <w:b/>
              </w:rPr>
              <w:t>Componente</w:t>
            </w:r>
          </w:p>
        </w:tc>
        <w:tc>
          <w:tcPr>
            <w:tcW w:w="2976" w:type="dxa"/>
            <w:shd w:val="clear" w:color="auto" w:fill="D9E2F3"/>
          </w:tcPr>
          <w:p w14:paraId="4FB5EC70" w14:textId="77777777" w:rsidR="008238E6" w:rsidRDefault="00D61AB3">
            <w:pPr>
              <w:spacing w:before="120" w:after="120" w:line="240" w:lineRule="auto"/>
              <w:jc w:val="center"/>
              <w:rPr>
                <w:b/>
              </w:rPr>
            </w:pPr>
            <w:r>
              <w:rPr>
                <w:b/>
              </w:rPr>
              <w:t>Proponente</w:t>
            </w:r>
          </w:p>
        </w:tc>
        <w:tc>
          <w:tcPr>
            <w:tcW w:w="3885" w:type="dxa"/>
            <w:shd w:val="clear" w:color="auto" w:fill="D9E2F3"/>
          </w:tcPr>
          <w:p w14:paraId="4FB5EC71" w14:textId="77777777" w:rsidR="008238E6" w:rsidRDefault="00D61AB3">
            <w:pPr>
              <w:spacing w:before="120" w:after="120" w:line="240" w:lineRule="auto"/>
              <w:jc w:val="center"/>
              <w:rPr>
                <w:b/>
              </w:rPr>
            </w:pPr>
            <w:r>
              <w:rPr>
                <w:b/>
              </w:rPr>
              <w:t>Análise da proposta</w:t>
            </w:r>
          </w:p>
        </w:tc>
      </w:tr>
      <w:tr w:rsidR="008238E6" w14:paraId="4FB5EC7B" w14:textId="77777777">
        <w:trPr>
          <w:trHeight w:val="454"/>
          <w:jc w:val="center"/>
        </w:trPr>
        <w:tc>
          <w:tcPr>
            <w:tcW w:w="2046" w:type="dxa"/>
            <w:shd w:val="clear" w:color="auto" w:fill="auto"/>
          </w:tcPr>
          <w:p w14:paraId="4FB5EC73" w14:textId="77777777" w:rsidR="008238E6" w:rsidRDefault="00D61AB3">
            <w:pPr>
              <w:spacing w:before="120" w:after="120" w:line="240" w:lineRule="auto"/>
              <w:jc w:val="center"/>
              <w:rPr>
                <w:b/>
              </w:rPr>
            </w:pPr>
            <w:r>
              <w:rPr>
                <w:b/>
                <w:color w:val="000000"/>
              </w:rPr>
              <w:t>Sumário da evidência</w:t>
            </w:r>
          </w:p>
        </w:tc>
        <w:tc>
          <w:tcPr>
            <w:tcW w:w="2976" w:type="dxa"/>
            <w:shd w:val="clear" w:color="auto" w:fill="auto"/>
          </w:tcPr>
          <w:p w14:paraId="4FB5EC74" w14:textId="77777777" w:rsidR="008238E6" w:rsidRDefault="00D61AB3">
            <w:pPr>
              <w:spacing w:before="120" w:after="120" w:line="240" w:lineRule="auto"/>
            </w:pPr>
            <w:r>
              <w:t>A revisão apresentou os dados provenientes, em sua maioria, de relatos de casos de pacientes que tiveram seu diagnóstico de diabetes tipo 1 ou 2 e, após suspeita, realizado teste genético para identificação de diabetes MODY. Existem 14 tipos de MODY, porém os mais citados e prevalentes na literatura são os tipos 2 e 3. O presente estudo apresentou isso nos relatos de caso e coortes, uma vez que o tratamento apresentado foi modificado ao diagnóstico em sua maioria com a retirada da insulina e com uso de dieta somente ou de sulfonilureia. Vale destacar que alguns casos também mantiveram tratamentos combinados para controle da glicemia. Nos casos de MODY-GCK, o diagnóstico permite a interrupção do tratamento medicamentoso o que, potencialmente, reduz o risco de hipoglicemia com suas consequências (ex.: internações e acidentes).</w:t>
            </w:r>
          </w:p>
        </w:tc>
        <w:tc>
          <w:tcPr>
            <w:tcW w:w="3885" w:type="dxa"/>
          </w:tcPr>
          <w:p w14:paraId="4FB5EC75" w14:textId="77777777" w:rsidR="008238E6" w:rsidRDefault="00D61AB3">
            <w:pPr>
              <w:spacing w:before="120" w:after="120" w:line="240" w:lineRule="auto"/>
            </w:pPr>
            <w:r>
              <w:t>O PROPONENTE não apresentou uma sumarização dos principais achados, incluindo a força da evidência para os desfechos analisados na sua discussão e conclusão. Em sua avaliação, foram incluídos relatos de caso, sendo a maioria deles presentes em sua revisão sistemática (n=14), além de cinco coortes, uma revisão da literatura e um ensaio clínico randomizado. No entanto, a maioria desses estudos não atendia aos critérios estabelecidos na sua própria estrutura PICOS, e nem na PICOS proposta pelos PARECERISTAS.</w:t>
            </w:r>
          </w:p>
          <w:p w14:paraId="4FB5EC76" w14:textId="77777777" w:rsidR="008238E6" w:rsidRDefault="00D61AB3">
            <w:pPr>
              <w:spacing w:before="120" w:after="120" w:line="240" w:lineRule="auto"/>
            </w:pPr>
            <w:r>
              <w:t xml:space="preserve">A análise do GRADE do PROPONENTE avaliou o desfecho de eficácia das diferentes classes de medicamentos no tipo de diabetes em questão, em vez de considerar o impacto clínico da aplicação do teste diagnóstico para definição de conduta. </w:t>
            </w:r>
          </w:p>
          <w:p w14:paraId="4FB5EC77" w14:textId="422AF490" w:rsidR="008238E6" w:rsidRDefault="00D61AB3">
            <w:pPr>
              <w:spacing w:before="120" w:after="120" w:line="240" w:lineRule="auto"/>
            </w:pPr>
            <w:r>
              <w:t xml:space="preserve">Os PARECERISTAS incluíram em sua análise dois estudos de coorte prospectivos, realizados por Shepherd em 2009 e 2018, ambos com alto risco de viés, que investigaram o impacto do diagnóstico genético em pacientes com suspeita de MODY, apresentando um baixo nível de certeza da evidência para esse desfecho. Esses estudos mostraram alterações nas abordagens terapêuticas após o diagnóstico genético em cerca de 50-70% dos casos, conforme descrito abaixo: </w:t>
            </w:r>
          </w:p>
          <w:p w14:paraId="4FB5EC78" w14:textId="77777777" w:rsidR="008238E6" w:rsidRDefault="00D61AB3">
            <w:pPr>
              <w:spacing w:before="120" w:after="120" w:line="240" w:lineRule="auto"/>
            </w:pPr>
            <w:r>
              <w:t>No estudo de 2009, que envolveu 43 pacientes, 34 indivíduos (79%) interromperam o uso de insulina para iniciar o tratamento com sulfonilureia, 8  pacientes (19%) não tentaram a transferência e permaneceram com insulina, e um paciente (2%) iniciou o tratamento com metformina. Dos 34 pacientes que realizaram a troca para a sulfonilureia, 10 (29%) voltaram a utilizar insulina.</w:t>
            </w:r>
          </w:p>
          <w:p w14:paraId="4FB5EC79" w14:textId="77777777" w:rsidR="008238E6" w:rsidRDefault="00D61AB3">
            <w:pPr>
              <w:spacing w:before="120" w:after="120" w:line="240" w:lineRule="auto"/>
            </w:pPr>
            <w:r>
              <w:t>No estudo de Shepherd de 2018, dos 58 pacientes que estavam em uso de medicamentos antes do diagnóstico, 44 indivíduos (75,9%) mudaram de tratamento após o diagnóstico, enquanto 14 (24,1%) mantiveram a mesma terapia.</w:t>
            </w:r>
          </w:p>
          <w:p w14:paraId="4FB5EC7A" w14:textId="77777777" w:rsidR="008238E6" w:rsidRDefault="008238E6">
            <w:pPr>
              <w:spacing w:before="120" w:after="120" w:line="240" w:lineRule="auto"/>
            </w:pPr>
          </w:p>
        </w:tc>
      </w:tr>
      <w:tr w:rsidR="008238E6" w14:paraId="4FB5EC7F" w14:textId="77777777">
        <w:trPr>
          <w:trHeight w:val="454"/>
          <w:jc w:val="center"/>
        </w:trPr>
        <w:tc>
          <w:tcPr>
            <w:tcW w:w="2046" w:type="dxa"/>
            <w:shd w:val="clear" w:color="auto" w:fill="auto"/>
          </w:tcPr>
          <w:p w14:paraId="4FB5EC7C" w14:textId="77777777" w:rsidR="008238E6" w:rsidRDefault="00D61AB3">
            <w:pPr>
              <w:spacing w:before="120" w:after="120" w:line="240" w:lineRule="auto"/>
              <w:jc w:val="center"/>
              <w:rPr>
                <w:b/>
              </w:rPr>
            </w:pPr>
            <w:r>
              <w:rPr>
                <w:b/>
                <w:color w:val="000000"/>
              </w:rPr>
              <w:t>Limitações</w:t>
            </w:r>
          </w:p>
        </w:tc>
        <w:tc>
          <w:tcPr>
            <w:tcW w:w="2976" w:type="dxa"/>
            <w:shd w:val="clear" w:color="auto" w:fill="auto"/>
          </w:tcPr>
          <w:p w14:paraId="4FB5EC7D" w14:textId="77777777" w:rsidR="008238E6" w:rsidRDefault="00D61AB3">
            <w:pPr>
              <w:spacing w:before="120" w:after="120" w:line="240" w:lineRule="auto"/>
              <w:jc w:val="center"/>
            </w:pPr>
            <w:r>
              <w:t>Não apresentado</w:t>
            </w:r>
          </w:p>
        </w:tc>
        <w:tc>
          <w:tcPr>
            <w:tcW w:w="3885" w:type="dxa"/>
          </w:tcPr>
          <w:p w14:paraId="4FB5EC7E" w14:textId="77777777" w:rsidR="008238E6" w:rsidRDefault="00D61AB3">
            <w:pPr>
              <w:spacing w:before="120" w:after="120" w:line="240" w:lineRule="auto"/>
              <w:rPr>
                <w:highlight w:val="yellow"/>
              </w:rPr>
            </w:pPr>
            <w:r>
              <w:t>As principais limitações da análise estão associadas ao número reduzido de estudos que avaliam o impacto clínico da mudança farmacoterapêutica em pacientes com suspeita de MODY. Além disso, os estudos não abordam os dados referentes a eventos adversos relacionados ao tratamento com insulina, ao controle glicêmico e às complicações crônicas do diabetes. No que diz respeito ao controle glicêmico, as investigações consideraram apenas os pacientes que já haviam sido diagnosticados por meio do teste genético, o que impede a mensuração do impacto dessa intervenção antes da aplicação do teste em um diagnóstico padrão.</w:t>
            </w:r>
          </w:p>
        </w:tc>
      </w:tr>
      <w:tr w:rsidR="008238E6" w14:paraId="4FB5EC84" w14:textId="77777777">
        <w:trPr>
          <w:trHeight w:val="454"/>
          <w:jc w:val="center"/>
        </w:trPr>
        <w:tc>
          <w:tcPr>
            <w:tcW w:w="2046" w:type="dxa"/>
            <w:shd w:val="clear" w:color="auto" w:fill="auto"/>
          </w:tcPr>
          <w:p w14:paraId="4FB5EC80" w14:textId="77777777" w:rsidR="008238E6" w:rsidRDefault="00D61AB3">
            <w:pPr>
              <w:spacing w:before="120" w:after="120" w:line="240" w:lineRule="auto"/>
              <w:jc w:val="center"/>
              <w:rPr>
                <w:b/>
              </w:rPr>
            </w:pPr>
            <w:r>
              <w:rPr>
                <w:b/>
                <w:color w:val="000000"/>
                <w:highlight w:val="white"/>
              </w:rPr>
              <w:t>Conclusões</w:t>
            </w:r>
          </w:p>
        </w:tc>
        <w:tc>
          <w:tcPr>
            <w:tcW w:w="2976" w:type="dxa"/>
            <w:shd w:val="clear" w:color="auto" w:fill="auto"/>
          </w:tcPr>
          <w:p w14:paraId="4FB5EC81" w14:textId="77777777" w:rsidR="008238E6" w:rsidRDefault="00D61AB3">
            <w:pPr>
              <w:spacing w:before="120" w:after="120" w:line="240" w:lineRule="auto"/>
            </w:pPr>
            <w:r>
              <w:t>O diagnóstico precoce de diabetes tipo MODY proporciona aos pacientes um melhor direcionamento ao tratamento, um melhor controle glicêmico e risco reduzido de hipoglicemia. Pode permitir a interrupção de tratamento medicamentoso, caso MODY-GCK, e interrupção da insulina com melhor controle glicêmico, caso MODY-HNF1A. A longo prazo, isso pode melhorar os desfechos relacionados a diabetes e prevenção das comorbidades relacionadas.</w:t>
            </w:r>
          </w:p>
        </w:tc>
        <w:tc>
          <w:tcPr>
            <w:tcW w:w="3885" w:type="dxa"/>
          </w:tcPr>
          <w:p w14:paraId="4FB5EC82" w14:textId="77777777" w:rsidR="008238E6" w:rsidRDefault="00D61AB3">
            <w:pPr>
              <w:spacing w:before="120" w:after="120" w:line="240" w:lineRule="auto"/>
              <w:rPr>
                <w:highlight w:val="white"/>
              </w:rPr>
            </w:pPr>
            <w:r>
              <w:rPr>
                <w:highlight w:val="white"/>
              </w:rPr>
              <w:t xml:space="preserve">A conclusão apresentada pelo PROPONENTE não está alinhada com a pergunta formulada e com a estrutura PICOS proposta, além de não refletir adequadamente a análise dos desfechos avaliados, que incluem a eficácia da metformina e da gliclazida no GRADE. Ademais, há uma escassez de estudos que investiguem o impacto da mudança no manejo clínico. Atualmente está disponível calculadora de predição clínica com alta sensibilidade e especificidade para o diagnóstico de MODY. </w:t>
            </w:r>
          </w:p>
          <w:p w14:paraId="4FB5EC83" w14:textId="7E7FBBEC" w:rsidR="008238E6" w:rsidRDefault="00D61AB3">
            <w:pPr>
              <w:spacing w:before="120" w:after="120" w:line="240" w:lineRule="auto"/>
              <w:rPr>
                <w:highlight w:val="white"/>
              </w:rPr>
            </w:pPr>
            <w:r>
              <w:rPr>
                <w:highlight w:val="white"/>
              </w:rPr>
              <w:t xml:space="preserve">A evidência disponível sobre a eficácia e segurança do teste genético para diagnóstico do diabetes tipo MODY é limitada, baseada em apenas duas coortes com certeza baixa quanto à mudança na farmacoterapia. As principais limitações da análise incluem o número reduzido de estudos e a falta de dados sobre eventos adversos, controle glicêmico e complicações crônicas. Os estudos foram não cegos e incluíram apenas indivíduos já submetidos ao teste, sem um braço controle com diagnóstico e conduta terapêutica baseados no uso da calculadora de probabilidade clínica.  </w:t>
            </w:r>
          </w:p>
        </w:tc>
      </w:tr>
    </w:tbl>
    <w:p w14:paraId="4FB5EC85" w14:textId="77777777" w:rsidR="008238E6" w:rsidRDefault="008238E6">
      <w:pPr>
        <w:rPr>
          <w:smallCaps/>
          <w:highlight w:val="cyan"/>
        </w:rPr>
      </w:pPr>
    </w:p>
    <w:tbl>
      <w:tblPr>
        <w:tblStyle w:val="affffff8"/>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C87" w14:textId="77777777">
        <w:trPr>
          <w:trHeight w:val="416"/>
        </w:trPr>
        <w:tc>
          <w:tcPr>
            <w:tcW w:w="9072" w:type="dxa"/>
            <w:shd w:val="clear" w:color="auto" w:fill="D9E2F3"/>
            <w:vAlign w:val="center"/>
          </w:tcPr>
          <w:p w14:paraId="4FB5EC86" w14:textId="77777777" w:rsidR="008238E6" w:rsidRDefault="00D61AB3">
            <w:pPr>
              <w:spacing w:before="120" w:after="120"/>
              <w:jc w:val="center"/>
              <w:rPr>
                <w:b/>
              </w:rPr>
            </w:pPr>
            <w:r>
              <w:rPr>
                <w:b/>
              </w:rPr>
              <w:t>Comentários gerais sobre a discussão e as conclusões</w:t>
            </w:r>
          </w:p>
        </w:tc>
      </w:tr>
      <w:tr w:rsidR="008238E6" w14:paraId="4FB5EC89" w14:textId="77777777">
        <w:trPr>
          <w:trHeight w:val="750"/>
        </w:trPr>
        <w:tc>
          <w:tcPr>
            <w:tcW w:w="9072" w:type="dxa"/>
            <w:vAlign w:val="center"/>
          </w:tcPr>
          <w:p w14:paraId="4FB5EC88" w14:textId="77777777" w:rsidR="008238E6" w:rsidRDefault="00D61AB3">
            <w:pPr>
              <w:spacing w:before="120" w:after="120"/>
              <w:jc w:val="center"/>
            </w:pPr>
            <w:r>
              <w:t>Sem comentários adicionais.</w:t>
            </w:r>
          </w:p>
        </w:tc>
      </w:tr>
    </w:tbl>
    <w:p w14:paraId="4FB5EC8A" w14:textId="77777777" w:rsidR="008238E6" w:rsidRDefault="008238E6">
      <w:pPr>
        <w:rPr>
          <w:smallCaps/>
          <w:highlight w:val="cyan"/>
        </w:rPr>
      </w:pPr>
    </w:p>
    <w:p w14:paraId="4FB5EC8B" w14:textId="77777777" w:rsidR="008238E6" w:rsidRDefault="00D61AB3">
      <w:pPr>
        <w:pStyle w:val="Heading2"/>
      </w:pPr>
      <w:bookmarkStart w:id="48" w:name="_heading=h.19c6y18" w:colFirst="0" w:colLast="0"/>
      <w:bookmarkEnd w:id="48"/>
      <w:r>
        <w:t>5.7 Elementos pós-texto</w:t>
      </w:r>
    </w:p>
    <w:p w14:paraId="4FB5EC8C" w14:textId="77777777" w:rsidR="008238E6" w:rsidRDefault="00D61AB3">
      <w:pPr>
        <w:pStyle w:val="Heading4"/>
      </w:pPr>
      <w:bookmarkStart w:id="49" w:name="_heading=h.hi59osauu74z" w:colFirst="0" w:colLast="0"/>
      <w:bookmarkEnd w:id="49"/>
      <w:r>
        <w:rPr>
          <w:b/>
        </w:rPr>
        <w:t>Quadro 21.</w:t>
      </w:r>
      <w:r>
        <w:t xml:space="preserve"> Componentes dos elementos pós-texto.</w:t>
      </w:r>
    </w:p>
    <w:tbl>
      <w:tblPr>
        <w:tblStyle w:val="affffff9"/>
        <w:tblW w:w="8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2"/>
        <w:gridCol w:w="3402"/>
        <w:gridCol w:w="3743"/>
      </w:tblGrid>
      <w:tr w:rsidR="008238E6" w14:paraId="4FB5EC90" w14:textId="77777777">
        <w:trPr>
          <w:trHeight w:val="454"/>
          <w:jc w:val="center"/>
        </w:trPr>
        <w:tc>
          <w:tcPr>
            <w:tcW w:w="1762" w:type="dxa"/>
            <w:shd w:val="clear" w:color="auto" w:fill="D9E2F3"/>
          </w:tcPr>
          <w:p w14:paraId="4FB5EC8D" w14:textId="77777777" w:rsidR="008238E6" w:rsidRDefault="00D61AB3">
            <w:pPr>
              <w:spacing w:before="120" w:after="120"/>
              <w:jc w:val="center"/>
              <w:rPr>
                <w:b/>
              </w:rPr>
            </w:pPr>
            <w:r>
              <w:rPr>
                <w:b/>
              </w:rPr>
              <w:t>Elemento</w:t>
            </w:r>
          </w:p>
        </w:tc>
        <w:tc>
          <w:tcPr>
            <w:tcW w:w="3402" w:type="dxa"/>
            <w:shd w:val="clear" w:color="auto" w:fill="D9E2F3"/>
          </w:tcPr>
          <w:p w14:paraId="4FB5EC8E" w14:textId="77777777" w:rsidR="008238E6" w:rsidRDefault="00D61AB3">
            <w:pPr>
              <w:spacing w:before="120" w:after="120"/>
              <w:jc w:val="center"/>
              <w:rPr>
                <w:b/>
              </w:rPr>
            </w:pPr>
            <w:r>
              <w:rPr>
                <w:b/>
              </w:rPr>
              <w:t>Proponente</w:t>
            </w:r>
          </w:p>
        </w:tc>
        <w:tc>
          <w:tcPr>
            <w:tcW w:w="3743" w:type="dxa"/>
            <w:shd w:val="clear" w:color="auto" w:fill="D9E2F3"/>
          </w:tcPr>
          <w:p w14:paraId="4FB5EC8F" w14:textId="77777777" w:rsidR="008238E6" w:rsidRDefault="00D61AB3">
            <w:pPr>
              <w:spacing w:before="120" w:after="120"/>
              <w:jc w:val="center"/>
              <w:rPr>
                <w:b/>
              </w:rPr>
            </w:pPr>
            <w:r>
              <w:rPr>
                <w:b/>
              </w:rPr>
              <w:t>Análise da proposta</w:t>
            </w:r>
          </w:p>
        </w:tc>
      </w:tr>
      <w:tr w:rsidR="008238E6" w14:paraId="4FB5EC94" w14:textId="77777777">
        <w:trPr>
          <w:trHeight w:val="454"/>
          <w:jc w:val="center"/>
        </w:trPr>
        <w:tc>
          <w:tcPr>
            <w:tcW w:w="1762" w:type="dxa"/>
            <w:shd w:val="clear" w:color="auto" w:fill="auto"/>
          </w:tcPr>
          <w:p w14:paraId="4FB5EC91" w14:textId="77777777" w:rsidR="008238E6" w:rsidRDefault="00D61AB3">
            <w:pPr>
              <w:spacing w:before="120" w:after="120"/>
              <w:jc w:val="center"/>
              <w:rPr>
                <w:b/>
              </w:rPr>
            </w:pPr>
            <w:r>
              <w:rPr>
                <w:b/>
                <w:color w:val="000000"/>
              </w:rPr>
              <w:t>Declaração de conflito de interesse</w:t>
            </w:r>
          </w:p>
        </w:tc>
        <w:tc>
          <w:tcPr>
            <w:tcW w:w="3402" w:type="dxa"/>
            <w:shd w:val="clear" w:color="auto" w:fill="auto"/>
          </w:tcPr>
          <w:p w14:paraId="4FB5EC92" w14:textId="77777777" w:rsidR="008238E6" w:rsidRDefault="00D61AB3">
            <w:pPr>
              <w:spacing w:before="120" w:after="120"/>
              <w:jc w:val="center"/>
            </w:pPr>
            <w:r>
              <w:t>Não se aplica</w:t>
            </w:r>
          </w:p>
        </w:tc>
        <w:tc>
          <w:tcPr>
            <w:tcW w:w="3743" w:type="dxa"/>
          </w:tcPr>
          <w:p w14:paraId="4FB5EC93" w14:textId="77777777" w:rsidR="008238E6" w:rsidRDefault="00D61AB3">
            <w:pPr>
              <w:spacing w:before="120" w:after="120"/>
            </w:pPr>
            <w:r>
              <w:t>A declaração de conflitos de interesse é objeto de análise pela ANS devido à proteção de dados confidenciais. O PARECERISTA não teve acesso ao documento.</w:t>
            </w:r>
          </w:p>
        </w:tc>
      </w:tr>
      <w:tr w:rsidR="008238E6" w14:paraId="4FB5EC98" w14:textId="77777777">
        <w:trPr>
          <w:trHeight w:val="454"/>
          <w:jc w:val="center"/>
        </w:trPr>
        <w:tc>
          <w:tcPr>
            <w:tcW w:w="1762" w:type="dxa"/>
            <w:shd w:val="clear" w:color="auto" w:fill="auto"/>
          </w:tcPr>
          <w:p w14:paraId="4FB5EC95" w14:textId="77777777" w:rsidR="008238E6" w:rsidRDefault="00D61AB3">
            <w:pPr>
              <w:spacing w:before="120" w:after="120"/>
              <w:jc w:val="center"/>
              <w:rPr>
                <w:b/>
              </w:rPr>
            </w:pPr>
            <w:r>
              <w:rPr>
                <w:b/>
                <w:color w:val="000000"/>
              </w:rPr>
              <w:t>Referências</w:t>
            </w:r>
          </w:p>
        </w:tc>
        <w:tc>
          <w:tcPr>
            <w:tcW w:w="3402" w:type="dxa"/>
            <w:shd w:val="clear" w:color="auto" w:fill="auto"/>
          </w:tcPr>
          <w:p w14:paraId="4FB5EC96" w14:textId="77777777" w:rsidR="008238E6" w:rsidRDefault="00D61AB3">
            <w:pPr>
              <w:spacing w:before="120" w:after="120"/>
              <w:jc w:val="center"/>
            </w:pPr>
            <w:r>
              <w:t xml:space="preserve">Adequadas </w:t>
            </w:r>
          </w:p>
        </w:tc>
        <w:tc>
          <w:tcPr>
            <w:tcW w:w="3743" w:type="dxa"/>
          </w:tcPr>
          <w:p w14:paraId="4FB5EC97" w14:textId="77777777" w:rsidR="008238E6" w:rsidRDefault="00D61AB3">
            <w:pPr>
              <w:spacing w:before="120" w:after="120"/>
            </w:pPr>
            <w:r>
              <w:t>Todas as referências relevantes foram citadas.</w:t>
            </w:r>
          </w:p>
        </w:tc>
      </w:tr>
    </w:tbl>
    <w:p w14:paraId="4FB5EC99" w14:textId="77777777" w:rsidR="008238E6" w:rsidRDefault="008238E6">
      <w:pPr>
        <w:rPr>
          <w:smallCaps/>
          <w:highlight w:val="cyan"/>
        </w:rPr>
      </w:pPr>
    </w:p>
    <w:tbl>
      <w:tblPr>
        <w:tblStyle w:val="affffffa"/>
        <w:tblW w:w="8859"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59"/>
      </w:tblGrid>
      <w:tr w:rsidR="008238E6" w14:paraId="4FB5EC9B" w14:textId="77777777">
        <w:trPr>
          <w:trHeight w:val="416"/>
        </w:trPr>
        <w:tc>
          <w:tcPr>
            <w:tcW w:w="8859" w:type="dxa"/>
            <w:shd w:val="clear" w:color="auto" w:fill="D9E2F3"/>
            <w:vAlign w:val="center"/>
          </w:tcPr>
          <w:p w14:paraId="4FB5EC9A" w14:textId="77777777" w:rsidR="008238E6" w:rsidRDefault="00D61AB3">
            <w:pPr>
              <w:spacing w:before="120" w:after="120"/>
              <w:jc w:val="center"/>
              <w:rPr>
                <w:b/>
              </w:rPr>
            </w:pPr>
            <w:r>
              <w:rPr>
                <w:b/>
              </w:rPr>
              <w:t>Comentários gerais sobre os elementos pós-texto</w:t>
            </w:r>
          </w:p>
        </w:tc>
      </w:tr>
      <w:tr w:rsidR="008238E6" w14:paraId="4FB5EC9D" w14:textId="77777777">
        <w:trPr>
          <w:trHeight w:val="750"/>
        </w:trPr>
        <w:tc>
          <w:tcPr>
            <w:tcW w:w="8859" w:type="dxa"/>
            <w:vAlign w:val="center"/>
          </w:tcPr>
          <w:p w14:paraId="4FB5EC9C" w14:textId="77777777" w:rsidR="008238E6" w:rsidRDefault="00D61AB3">
            <w:pPr>
              <w:spacing w:before="120" w:after="120"/>
              <w:jc w:val="center"/>
              <w:rPr>
                <w:i/>
                <w:color w:val="FF0000"/>
              </w:rPr>
            </w:pPr>
            <w:r>
              <w:t>Sem comentários adicionais.</w:t>
            </w:r>
          </w:p>
        </w:tc>
      </w:tr>
    </w:tbl>
    <w:p w14:paraId="4FB5EC9E" w14:textId="77777777" w:rsidR="008238E6" w:rsidRDefault="00D61AB3">
      <w:pPr>
        <w:pStyle w:val="Heading2"/>
      </w:pPr>
      <w:r>
        <w:br w:type="page"/>
      </w:r>
    </w:p>
    <w:p w14:paraId="4FB5EC9F" w14:textId="77777777" w:rsidR="008238E6" w:rsidRDefault="00D61AB3">
      <w:pPr>
        <w:pStyle w:val="Heading1"/>
      </w:pPr>
      <w:bookmarkStart w:id="50" w:name="_heading=h.3tbugp1" w:colFirst="0" w:colLast="0"/>
      <w:bookmarkEnd w:id="50"/>
      <w:r>
        <w:t xml:space="preserve">6. AVALIAÇÃO ECONÔMICA </w:t>
      </w:r>
    </w:p>
    <w:p w14:paraId="4FB5ECA0" w14:textId="77777777" w:rsidR="008238E6" w:rsidRDefault="00D61AB3">
      <w:r>
        <w:t xml:space="preserve">O estudo de avaliação econômica foi analisado a partir de elementos contidos no roteiro elaborado pela equipe técnica da ANS e considerando as Diretrizes Metodológicas publicadas pelo Ministério da Saúde para a elaboração de avaliações econômicas </w:t>
      </w:r>
      <w:r>
        <w:rPr>
          <w:vertAlign w:val="superscript"/>
        </w:rPr>
        <w:t xml:space="preserve">3 </w:t>
      </w:r>
      <w:r>
        <w:t xml:space="preserve">e adaptadas para o contexto da saúde suplementar. </w:t>
      </w:r>
    </w:p>
    <w:p w14:paraId="4FB5ECA1" w14:textId="77777777" w:rsidR="008238E6" w:rsidRDefault="00D61AB3">
      <w:pPr>
        <w:spacing w:before="0" w:after="0"/>
      </w:pPr>
      <w:bookmarkStart w:id="51" w:name="_heading=h.28h4qwu" w:colFirst="0" w:colLast="0"/>
      <w:bookmarkEnd w:id="51"/>
      <w:r>
        <w:t>Tipo de avaliação econômica apresentada pelo PROPONENTE:</w:t>
      </w:r>
    </w:p>
    <w:p w14:paraId="4FB5ECA2" w14:textId="77777777" w:rsidR="008238E6" w:rsidRDefault="00D61AB3">
      <w:pPr>
        <w:spacing w:before="0" w:after="0"/>
      </w:pPr>
      <w:r>
        <w:t>(  ) Custos (análise parcial)</w:t>
      </w:r>
    </w:p>
    <w:p w14:paraId="4FB5ECA3" w14:textId="77777777" w:rsidR="008238E6" w:rsidRDefault="00D61AB3">
      <w:pPr>
        <w:spacing w:before="0" w:after="0"/>
      </w:pPr>
      <w:r>
        <w:t>(  ) Custo-efetividade</w:t>
      </w:r>
    </w:p>
    <w:p w14:paraId="4FB5ECA4" w14:textId="77777777" w:rsidR="008238E6" w:rsidRDefault="00D61AB3">
      <w:pPr>
        <w:spacing w:before="0" w:after="0"/>
      </w:pPr>
      <w:r>
        <w:t>(x) Custo-</w:t>
      </w:r>
      <w:r>
        <w:rPr>
          <w:i/>
        </w:rPr>
        <w:t>utility</w:t>
      </w:r>
    </w:p>
    <w:p w14:paraId="4FB5ECA5" w14:textId="77777777" w:rsidR="008238E6" w:rsidRDefault="00D61AB3">
      <w:pPr>
        <w:spacing w:before="0" w:after="0"/>
      </w:pPr>
      <w:r>
        <w:t>(  ) Custo-benefício</w:t>
      </w:r>
    </w:p>
    <w:p w14:paraId="4FB5ECA6" w14:textId="77777777" w:rsidR="008238E6" w:rsidRDefault="00D61AB3">
      <w:pPr>
        <w:spacing w:before="0" w:after="0"/>
      </w:pPr>
      <w:r>
        <w:t>(  ) Custo-minimização</w:t>
      </w:r>
    </w:p>
    <w:p w14:paraId="4FB5ECA7" w14:textId="77777777" w:rsidR="008238E6" w:rsidRDefault="008238E6">
      <w:pPr>
        <w:spacing w:before="0" w:after="0"/>
      </w:pPr>
    </w:p>
    <w:tbl>
      <w:tblPr>
        <w:tblStyle w:val="affffffb"/>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CA9" w14:textId="77777777">
        <w:trPr>
          <w:trHeight w:val="416"/>
        </w:trPr>
        <w:tc>
          <w:tcPr>
            <w:tcW w:w="9072" w:type="dxa"/>
            <w:shd w:val="clear" w:color="auto" w:fill="D9E2F3"/>
            <w:vAlign w:val="center"/>
          </w:tcPr>
          <w:p w14:paraId="4FB5ECA8" w14:textId="77777777" w:rsidR="008238E6" w:rsidRDefault="00D61AB3">
            <w:pPr>
              <w:spacing w:before="120" w:after="120"/>
              <w:jc w:val="center"/>
              <w:rPr>
                <w:b/>
              </w:rPr>
            </w:pPr>
            <w:r>
              <w:rPr>
                <w:b/>
              </w:rPr>
              <w:t>Comentários sobre o tipo de avaliação econômica apresentada pelo PROPONENTE</w:t>
            </w:r>
          </w:p>
        </w:tc>
      </w:tr>
      <w:tr w:rsidR="008238E6" w14:paraId="4FB5ECAD" w14:textId="77777777">
        <w:trPr>
          <w:trHeight w:val="750"/>
        </w:trPr>
        <w:tc>
          <w:tcPr>
            <w:tcW w:w="9072" w:type="dxa"/>
            <w:vAlign w:val="center"/>
          </w:tcPr>
          <w:p w14:paraId="4FB5ECAA" w14:textId="77777777" w:rsidR="008238E6" w:rsidRDefault="00D61AB3">
            <w:r>
              <w:t xml:space="preserve"> A avaliação econômica apresentada pelo PROPONENTE foi baseada em uma análise de custo-utilidade a partir de um modelo de Markov do tipo coorte simulada desenvolvido no MS Excel. Esse tipo de avaliação econômica está apropriadamente indicado para a presente questão de avaliação de tecnologia em saúde.</w:t>
            </w:r>
          </w:p>
          <w:p w14:paraId="4FB5ECAB" w14:textId="767D26E0" w:rsidR="008238E6" w:rsidRDefault="00D61AB3">
            <w:r>
              <w:t xml:space="preserve"> Esse modelo apresentou ciclos anuais e horizonte temporal de toda a vida (100 anos). O modelo considera pacientes com idade inicial de 25 anos no ciclo zero. A perspectiva da análise foi a da saúde suplementar como um todo e foram incluídos custos médicos diretos com o teste e com o manejo de complicações clínicas relacionadas ao diabetes. Foram assumidos alguns pressupostos na elaboração do modelo, sendo os principais: (1) o diagnóstico clínico de diabetes MODY por meio da aplicação de calculadora de probabilidade para MODY em consulta clínica e do uso de exames disponíveis no rol (dosagem do peptídeo C e de anticorpos anti-ilhotas de Langerhans) já estaria incluído em ambos os braços do modelo (com e sem teste genético disponível), e, sendo um custo idêntico em ambos braços do modelo, não necessita ser explicitamente valorado e modelado; (2) o teste genético em avaliação (painel NGS para MODY) apresentaria acurácia global máxima (ou seja, máximas sensibilidade e especificidade, sempre classificando corretamente os pacientes com MODY); (3) o teste genético já teria sido aplicado anteriormente ao período modelado, gerando as coortes simuladas em comparação (coorte MODY perfeitamente classificado pelo teste genético e com tratamento otimizado vs coorte sem tratamento otimizado); (4) a identificação de MODY pelo teste genético levaria ao tratamento clínico otimizado (para 79% dos pacientes); (5) o tratamento clínico otimizado nos pacientes MODY classificados corretamente resultaria em redução média de 1,2% da HbA1c dos pacientes, com redução na incidência de complicações clínicas (retinopatia, proteinúria e óbito por diabetes) e aumento no tempo e na qualidade de vida na coorte submetida ao teste genético em relação à coorte não submetida ao teste genético.</w:t>
            </w:r>
          </w:p>
          <w:p w14:paraId="4FB5ECAC" w14:textId="77777777" w:rsidR="008238E6" w:rsidRDefault="00D61AB3">
            <w:r>
              <w:t xml:space="preserve">   O modelo do proponente carece de transparência e o relatório que descreve o modelo é demasiadamente sucinto, de modo que é necessário esforço do parecerista para entender e relatar corretamente o que está sendo representado. Reconhece-se que o modelo apresenta validade interna, porém apresenta limitações que serão explicadas nas próximas seções do presente RAC.</w:t>
            </w:r>
          </w:p>
        </w:tc>
      </w:tr>
    </w:tbl>
    <w:p w14:paraId="4FB5ECAE" w14:textId="77777777" w:rsidR="008238E6" w:rsidRDefault="008238E6">
      <w:pPr>
        <w:rPr>
          <w:smallCaps/>
          <w:highlight w:val="cyan"/>
        </w:rPr>
      </w:pPr>
    </w:p>
    <w:p w14:paraId="4FB5ECAF" w14:textId="77777777" w:rsidR="008238E6" w:rsidRDefault="00D61AB3">
      <w:pPr>
        <w:pStyle w:val="Heading2"/>
      </w:pPr>
      <w:bookmarkStart w:id="52" w:name="_heading=h.nmf14n" w:colFirst="0" w:colLast="0"/>
      <w:bookmarkEnd w:id="52"/>
      <w:r>
        <w:t>6.1 Métodos</w:t>
      </w:r>
    </w:p>
    <w:p w14:paraId="4FB5ECB0" w14:textId="77777777" w:rsidR="008238E6" w:rsidRDefault="00D61AB3">
      <w:r>
        <w:t xml:space="preserve">A avaliação econômica apresentada pelo PROPONENTE foi construída considerando os parâmetros apresentados e comentados no </w:t>
      </w:r>
      <w:r>
        <w:rPr>
          <w:b/>
        </w:rPr>
        <w:t>Quadro 22.</w:t>
      </w:r>
      <w:r>
        <w:t xml:space="preserve"> </w:t>
      </w:r>
    </w:p>
    <w:p w14:paraId="4FB5ECB1" w14:textId="77777777" w:rsidR="008238E6" w:rsidRDefault="00D61AB3">
      <w:pPr>
        <w:pStyle w:val="Heading4"/>
      </w:pPr>
      <w:bookmarkStart w:id="53" w:name="_heading=h.yclsnc4cf206" w:colFirst="0" w:colLast="0"/>
      <w:bookmarkEnd w:id="53"/>
      <w:r>
        <w:rPr>
          <w:b/>
        </w:rPr>
        <w:t>Quadro 22.</w:t>
      </w:r>
      <w:r>
        <w:t xml:space="preserve"> Parâmetros da avaliação econômica.</w:t>
      </w:r>
    </w:p>
    <w:tbl>
      <w:tblPr>
        <w:tblStyle w:val="affffffc"/>
        <w:tblW w:w="88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0"/>
        <w:gridCol w:w="3285"/>
        <w:gridCol w:w="3855"/>
      </w:tblGrid>
      <w:tr w:rsidR="008238E6" w14:paraId="4FB5ECB5" w14:textId="77777777" w:rsidTr="3EF7B8AA">
        <w:trPr>
          <w:trHeight w:val="454"/>
          <w:jc w:val="center"/>
        </w:trPr>
        <w:tc>
          <w:tcPr>
            <w:tcW w:w="1740" w:type="dxa"/>
            <w:shd w:val="clear" w:color="auto" w:fill="D9E2F3"/>
          </w:tcPr>
          <w:p w14:paraId="4FB5ECB2" w14:textId="77777777" w:rsidR="008238E6" w:rsidRDefault="00D61AB3">
            <w:pPr>
              <w:spacing w:before="120" w:after="120"/>
              <w:jc w:val="center"/>
              <w:rPr>
                <w:b/>
              </w:rPr>
            </w:pPr>
            <w:r>
              <w:rPr>
                <w:b/>
              </w:rPr>
              <w:t>Parâmetro</w:t>
            </w:r>
          </w:p>
        </w:tc>
        <w:tc>
          <w:tcPr>
            <w:tcW w:w="3285" w:type="dxa"/>
            <w:shd w:val="clear" w:color="auto" w:fill="D9E2F3"/>
          </w:tcPr>
          <w:p w14:paraId="4FB5ECB3" w14:textId="77777777" w:rsidR="008238E6" w:rsidRDefault="00D61AB3">
            <w:pPr>
              <w:spacing w:before="120" w:after="120"/>
              <w:jc w:val="center"/>
              <w:rPr>
                <w:b/>
              </w:rPr>
            </w:pPr>
            <w:r>
              <w:rPr>
                <w:b/>
              </w:rPr>
              <w:t>Proponente</w:t>
            </w:r>
          </w:p>
        </w:tc>
        <w:tc>
          <w:tcPr>
            <w:tcW w:w="3855" w:type="dxa"/>
            <w:shd w:val="clear" w:color="auto" w:fill="D9E2F3"/>
          </w:tcPr>
          <w:p w14:paraId="4FB5ECB4" w14:textId="77777777" w:rsidR="008238E6" w:rsidRDefault="00D61AB3">
            <w:pPr>
              <w:spacing w:before="120" w:after="120"/>
              <w:jc w:val="center"/>
              <w:rPr>
                <w:b/>
              </w:rPr>
            </w:pPr>
            <w:r>
              <w:rPr>
                <w:b/>
              </w:rPr>
              <w:t>Análise da proposta</w:t>
            </w:r>
          </w:p>
        </w:tc>
      </w:tr>
      <w:tr w:rsidR="008238E6" w14:paraId="4FB5ECB9" w14:textId="77777777" w:rsidTr="3EF7B8AA">
        <w:trPr>
          <w:trHeight w:val="454"/>
          <w:jc w:val="center"/>
        </w:trPr>
        <w:tc>
          <w:tcPr>
            <w:tcW w:w="1740" w:type="dxa"/>
            <w:shd w:val="clear" w:color="auto" w:fill="auto"/>
          </w:tcPr>
          <w:p w14:paraId="4FB5ECB6" w14:textId="77777777" w:rsidR="008238E6" w:rsidRDefault="00D61AB3">
            <w:pPr>
              <w:spacing w:before="120" w:after="120"/>
              <w:jc w:val="center"/>
              <w:rPr>
                <w:b/>
              </w:rPr>
            </w:pPr>
            <w:r>
              <w:rPr>
                <w:b/>
              </w:rPr>
              <w:t>Perspectiva</w:t>
            </w:r>
          </w:p>
        </w:tc>
        <w:tc>
          <w:tcPr>
            <w:tcW w:w="3285" w:type="dxa"/>
            <w:shd w:val="clear" w:color="auto" w:fill="auto"/>
          </w:tcPr>
          <w:p w14:paraId="4FB5ECB7" w14:textId="77777777" w:rsidR="008238E6" w:rsidRDefault="00D61AB3">
            <w:pPr>
              <w:pBdr>
                <w:top w:val="nil"/>
                <w:left w:val="nil"/>
                <w:bottom w:val="nil"/>
                <w:right w:val="nil"/>
                <w:between w:val="nil"/>
              </w:pBdr>
              <w:spacing w:before="120" w:after="120"/>
              <w:jc w:val="center"/>
              <w:rPr>
                <w:highlight w:val="white"/>
              </w:rPr>
            </w:pPr>
            <w:r>
              <w:rPr>
                <w:highlight w:val="white"/>
              </w:rPr>
              <w:t>Saúde suplementar</w:t>
            </w:r>
          </w:p>
        </w:tc>
        <w:tc>
          <w:tcPr>
            <w:tcW w:w="3855" w:type="dxa"/>
          </w:tcPr>
          <w:p w14:paraId="4FB5ECB8" w14:textId="77777777" w:rsidR="008238E6" w:rsidRDefault="00D61AB3">
            <w:pPr>
              <w:spacing w:before="120" w:after="120"/>
              <w:jc w:val="center"/>
              <w:rPr>
                <w:highlight w:val="white"/>
              </w:rPr>
            </w:pPr>
            <w:r>
              <w:rPr>
                <w:highlight w:val="white"/>
              </w:rPr>
              <w:t>Adequado</w:t>
            </w:r>
          </w:p>
        </w:tc>
      </w:tr>
      <w:tr w:rsidR="008238E6" w14:paraId="4FB5ECBE" w14:textId="77777777" w:rsidTr="3EF7B8AA">
        <w:trPr>
          <w:trHeight w:val="454"/>
          <w:jc w:val="center"/>
        </w:trPr>
        <w:tc>
          <w:tcPr>
            <w:tcW w:w="1740" w:type="dxa"/>
            <w:shd w:val="clear" w:color="auto" w:fill="auto"/>
          </w:tcPr>
          <w:p w14:paraId="4FB5ECBA" w14:textId="77777777" w:rsidR="008238E6" w:rsidRDefault="00D61AB3">
            <w:pPr>
              <w:spacing w:before="120" w:after="120"/>
              <w:jc w:val="center"/>
              <w:rPr>
                <w:b/>
              </w:rPr>
            </w:pPr>
            <w:r>
              <w:rPr>
                <w:b/>
              </w:rPr>
              <w:t>Horizonte temporal</w:t>
            </w:r>
          </w:p>
        </w:tc>
        <w:tc>
          <w:tcPr>
            <w:tcW w:w="3285" w:type="dxa"/>
            <w:shd w:val="clear" w:color="auto" w:fill="auto"/>
          </w:tcPr>
          <w:p w14:paraId="4FB5ECBB" w14:textId="77777777" w:rsidR="008238E6" w:rsidRDefault="00D61AB3">
            <w:pPr>
              <w:pBdr>
                <w:top w:val="nil"/>
                <w:left w:val="nil"/>
                <w:bottom w:val="nil"/>
                <w:right w:val="nil"/>
                <w:between w:val="nil"/>
              </w:pBdr>
              <w:spacing w:before="120" w:after="120"/>
              <w:jc w:val="center"/>
              <w:rPr>
                <w:highlight w:val="white"/>
              </w:rPr>
            </w:pPr>
            <w:r>
              <w:rPr>
                <w:highlight w:val="white"/>
              </w:rPr>
              <w:t>Toda a vida, dos 25 aos 125 anos</w:t>
            </w:r>
          </w:p>
        </w:tc>
        <w:tc>
          <w:tcPr>
            <w:tcW w:w="3855" w:type="dxa"/>
          </w:tcPr>
          <w:p w14:paraId="4FB5ECBC" w14:textId="77777777" w:rsidR="008238E6" w:rsidRDefault="00D61AB3">
            <w:pPr>
              <w:spacing w:before="120" w:after="120"/>
              <w:rPr>
                <w:highlight w:val="white"/>
              </w:rPr>
            </w:pPr>
            <w:r>
              <w:rPr>
                <w:highlight w:val="white"/>
              </w:rPr>
              <w:t>Duração adequada, porém a faixa etária representada no modelo não captura consequências clínicas e econômicas entre pacientes com idade inferior a 25 anos. Não está explícito no dossiê econômico do PROPONENTE, mas entende-se que todos os pacientes da coorte simulada foram classificados corretamente entre MODY ou não-MODY antes dos 25 anos de idade. O poder discriminatório do teste não está modelado e assume-se que seja sensibilidade e especificidades máximas para o teste genético.</w:t>
            </w:r>
          </w:p>
          <w:p w14:paraId="4FB5ECBD" w14:textId="77777777" w:rsidR="008238E6" w:rsidRDefault="008238E6">
            <w:pPr>
              <w:spacing w:before="120" w:after="120"/>
              <w:jc w:val="center"/>
              <w:rPr>
                <w:highlight w:val="white"/>
              </w:rPr>
            </w:pPr>
          </w:p>
        </w:tc>
      </w:tr>
      <w:tr w:rsidR="008238E6" w14:paraId="4FB5ECC2" w14:textId="77777777" w:rsidTr="3EF7B8AA">
        <w:trPr>
          <w:trHeight w:val="454"/>
          <w:jc w:val="center"/>
        </w:trPr>
        <w:tc>
          <w:tcPr>
            <w:tcW w:w="1740" w:type="dxa"/>
            <w:shd w:val="clear" w:color="auto" w:fill="auto"/>
          </w:tcPr>
          <w:p w14:paraId="4FB5ECBF" w14:textId="77777777" w:rsidR="008238E6" w:rsidRDefault="00D61AB3">
            <w:pPr>
              <w:spacing w:before="120" w:after="120"/>
              <w:jc w:val="center"/>
              <w:rPr>
                <w:b/>
              </w:rPr>
            </w:pPr>
            <w:r>
              <w:rPr>
                <w:b/>
              </w:rPr>
              <w:t>População-alvo</w:t>
            </w:r>
          </w:p>
        </w:tc>
        <w:tc>
          <w:tcPr>
            <w:tcW w:w="3285" w:type="dxa"/>
            <w:shd w:val="clear" w:color="auto" w:fill="auto"/>
          </w:tcPr>
          <w:p w14:paraId="4FB5ECC0" w14:textId="77777777" w:rsidR="008238E6" w:rsidRDefault="00D61AB3">
            <w:pPr>
              <w:pBdr>
                <w:top w:val="nil"/>
                <w:left w:val="nil"/>
                <w:bottom w:val="nil"/>
                <w:right w:val="nil"/>
                <w:between w:val="nil"/>
              </w:pBdr>
              <w:spacing w:before="120" w:after="120"/>
            </w:pPr>
            <w:r>
              <w:t>Pacientes com alta probabilidade de diagnóstico de diabetes tipo Maturity-onset diabetes of the young (MODY)</w:t>
            </w:r>
          </w:p>
        </w:tc>
        <w:tc>
          <w:tcPr>
            <w:tcW w:w="3855" w:type="dxa"/>
          </w:tcPr>
          <w:p w14:paraId="4FB5ECC1" w14:textId="77777777" w:rsidR="008238E6" w:rsidRDefault="00D61AB3">
            <w:pPr>
              <w:pBdr>
                <w:top w:val="nil"/>
                <w:left w:val="nil"/>
                <w:bottom w:val="nil"/>
                <w:right w:val="nil"/>
                <w:between w:val="nil"/>
              </w:pBdr>
              <w:spacing w:before="120" w:after="120"/>
              <w:jc w:val="center"/>
            </w:pPr>
            <w:r>
              <w:t>Alinhado à PICO:  sim</w:t>
            </w:r>
          </w:p>
        </w:tc>
      </w:tr>
      <w:tr w:rsidR="008238E6" w14:paraId="4FB5ECC6" w14:textId="77777777" w:rsidTr="3EF7B8AA">
        <w:trPr>
          <w:trHeight w:val="454"/>
          <w:jc w:val="center"/>
        </w:trPr>
        <w:tc>
          <w:tcPr>
            <w:tcW w:w="1740" w:type="dxa"/>
            <w:shd w:val="clear" w:color="auto" w:fill="auto"/>
          </w:tcPr>
          <w:p w14:paraId="4FB5ECC3" w14:textId="77777777" w:rsidR="008238E6" w:rsidRDefault="00D61AB3">
            <w:pPr>
              <w:spacing w:before="120" w:after="120"/>
              <w:jc w:val="center"/>
              <w:rPr>
                <w:b/>
              </w:rPr>
            </w:pPr>
            <w:r>
              <w:rPr>
                <w:b/>
              </w:rPr>
              <w:t>Tecnologia</w:t>
            </w:r>
          </w:p>
        </w:tc>
        <w:tc>
          <w:tcPr>
            <w:tcW w:w="3285" w:type="dxa"/>
            <w:shd w:val="clear" w:color="auto" w:fill="auto"/>
          </w:tcPr>
          <w:p w14:paraId="4FB5ECC4" w14:textId="77777777" w:rsidR="008238E6" w:rsidRDefault="00D61AB3">
            <w:pPr>
              <w:spacing w:before="120" w:after="120"/>
              <w:jc w:val="center"/>
              <w:rPr>
                <w:highlight w:val="lightGray"/>
              </w:rPr>
            </w:pPr>
            <w:r>
              <w:t>Teste genético para diagnóstico de diabetes tipo MODY</w:t>
            </w:r>
          </w:p>
        </w:tc>
        <w:tc>
          <w:tcPr>
            <w:tcW w:w="3855" w:type="dxa"/>
          </w:tcPr>
          <w:p w14:paraId="4FB5ECC5" w14:textId="77777777" w:rsidR="008238E6" w:rsidRDefault="00D61AB3">
            <w:pPr>
              <w:spacing w:before="120" w:after="120"/>
              <w:jc w:val="center"/>
            </w:pPr>
            <w:r>
              <w:t>Alinhado à PICO:  sim</w:t>
            </w:r>
          </w:p>
        </w:tc>
      </w:tr>
      <w:tr w:rsidR="008238E6" w14:paraId="4FB5ECCB" w14:textId="77777777" w:rsidTr="3EF7B8AA">
        <w:trPr>
          <w:trHeight w:val="454"/>
          <w:jc w:val="center"/>
        </w:trPr>
        <w:tc>
          <w:tcPr>
            <w:tcW w:w="1740" w:type="dxa"/>
            <w:shd w:val="clear" w:color="auto" w:fill="auto"/>
          </w:tcPr>
          <w:p w14:paraId="4FB5ECC7" w14:textId="77777777" w:rsidR="008238E6" w:rsidRDefault="00D61AB3">
            <w:pPr>
              <w:spacing w:before="120" w:after="120"/>
              <w:jc w:val="center"/>
              <w:rPr>
                <w:b/>
              </w:rPr>
            </w:pPr>
            <w:r>
              <w:rPr>
                <w:b/>
              </w:rPr>
              <w:t>Comparador</w:t>
            </w:r>
          </w:p>
        </w:tc>
        <w:tc>
          <w:tcPr>
            <w:tcW w:w="3285" w:type="dxa"/>
            <w:shd w:val="clear" w:color="auto" w:fill="auto"/>
          </w:tcPr>
          <w:p w14:paraId="4FB5ECC8" w14:textId="77777777" w:rsidR="008238E6" w:rsidRDefault="00D61AB3">
            <w:pPr>
              <w:spacing w:before="120" w:after="120"/>
              <w:jc w:val="center"/>
            </w:pPr>
            <w:r>
              <w:t>Diagnóstico padrão, sem teste genético</w:t>
            </w:r>
          </w:p>
        </w:tc>
        <w:tc>
          <w:tcPr>
            <w:tcW w:w="3855" w:type="dxa"/>
          </w:tcPr>
          <w:p w14:paraId="4FB5ECC9" w14:textId="4CECA76E" w:rsidR="008238E6" w:rsidRDefault="0069484C">
            <w:pPr>
              <w:spacing w:before="120" w:after="120"/>
              <w:jc w:val="center"/>
            </w:pPr>
            <w:r>
              <w:t>Alinhado à PICO:  sim</w:t>
            </w:r>
          </w:p>
          <w:p w14:paraId="4FB5ECCA" w14:textId="77777777" w:rsidR="008238E6" w:rsidRDefault="008238E6">
            <w:pPr>
              <w:spacing w:before="120" w:after="120"/>
              <w:rPr>
                <w:i/>
                <w:color w:val="FF0000"/>
                <w:highlight w:val="cyan"/>
              </w:rPr>
            </w:pPr>
          </w:p>
        </w:tc>
      </w:tr>
      <w:tr w:rsidR="008238E6" w14:paraId="4FB5ECD0" w14:textId="77777777" w:rsidTr="3EF7B8AA">
        <w:trPr>
          <w:trHeight w:val="454"/>
          <w:jc w:val="center"/>
        </w:trPr>
        <w:tc>
          <w:tcPr>
            <w:tcW w:w="1740" w:type="dxa"/>
            <w:shd w:val="clear" w:color="auto" w:fill="auto"/>
          </w:tcPr>
          <w:p w14:paraId="4FB5ECCC" w14:textId="77777777" w:rsidR="008238E6" w:rsidRDefault="00D61AB3">
            <w:pPr>
              <w:spacing w:before="120" w:after="120"/>
              <w:jc w:val="center"/>
              <w:rPr>
                <w:b/>
              </w:rPr>
            </w:pPr>
            <w:r>
              <w:rPr>
                <w:b/>
              </w:rPr>
              <w:t>Taxa de desconto anual</w:t>
            </w:r>
          </w:p>
        </w:tc>
        <w:tc>
          <w:tcPr>
            <w:tcW w:w="3285" w:type="dxa"/>
            <w:shd w:val="clear" w:color="auto" w:fill="auto"/>
          </w:tcPr>
          <w:p w14:paraId="4FB5ECCD" w14:textId="77777777" w:rsidR="008238E6" w:rsidRDefault="00D61AB3">
            <w:pPr>
              <w:spacing w:before="120" w:after="120"/>
              <w:jc w:val="center"/>
            </w:pPr>
            <w:r>
              <w:t>5%</w:t>
            </w:r>
          </w:p>
        </w:tc>
        <w:tc>
          <w:tcPr>
            <w:tcW w:w="3855" w:type="dxa"/>
          </w:tcPr>
          <w:p w14:paraId="4FB5ECCF" w14:textId="3BE8A4CB" w:rsidR="008238E6" w:rsidRDefault="00D61AB3" w:rsidP="00AE5338">
            <w:pPr>
              <w:pBdr>
                <w:top w:val="nil"/>
                <w:left w:val="nil"/>
                <w:bottom w:val="nil"/>
                <w:right w:val="nil"/>
                <w:between w:val="nil"/>
              </w:pBdr>
              <w:spacing w:before="120" w:after="120"/>
              <w:jc w:val="center"/>
            </w:pPr>
            <w:r>
              <w:t xml:space="preserve">Apropriado: Sim </w:t>
            </w:r>
          </w:p>
        </w:tc>
      </w:tr>
      <w:tr w:rsidR="008238E6" w14:paraId="4FB5ECD5" w14:textId="77777777" w:rsidTr="3EF7B8AA">
        <w:trPr>
          <w:trHeight w:val="454"/>
          <w:jc w:val="center"/>
        </w:trPr>
        <w:tc>
          <w:tcPr>
            <w:tcW w:w="1740" w:type="dxa"/>
            <w:shd w:val="clear" w:color="auto" w:fill="auto"/>
          </w:tcPr>
          <w:p w14:paraId="4FB5ECD1" w14:textId="77777777" w:rsidR="008238E6" w:rsidRDefault="00D61AB3">
            <w:pPr>
              <w:spacing w:before="120" w:after="120"/>
              <w:jc w:val="center"/>
              <w:rPr>
                <w:b/>
              </w:rPr>
            </w:pPr>
            <w:r>
              <w:rPr>
                <w:b/>
              </w:rPr>
              <w:t>Desfechos de saúde</w:t>
            </w:r>
          </w:p>
        </w:tc>
        <w:tc>
          <w:tcPr>
            <w:tcW w:w="3285" w:type="dxa"/>
            <w:shd w:val="clear" w:color="auto" w:fill="auto"/>
          </w:tcPr>
          <w:p w14:paraId="4FB5ECD2" w14:textId="77777777" w:rsidR="008238E6" w:rsidRDefault="00D61AB3">
            <w:pPr>
              <w:spacing w:before="120" w:after="120"/>
              <w:jc w:val="left"/>
            </w:pPr>
            <w:r>
              <w:t>"Os dados clínicos como probabilidades de retinopatia, micro a macro albuminúria, probabilidade de morte por diabetes, taxa de abandono e transferência para sulfonilureia estão descritas na Tabela 1."</w:t>
            </w:r>
          </w:p>
        </w:tc>
        <w:tc>
          <w:tcPr>
            <w:tcW w:w="3855" w:type="dxa"/>
          </w:tcPr>
          <w:p w14:paraId="4FB5ECD3" w14:textId="77777777" w:rsidR="008238E6" w:rsidRDefault="00D61AB3">
            <w:pPr>
              <w:spacing w:before="120" w:after="120"/>
              <w:jc w:val="center"/>
              <w:rPr>
                <w:highlight w:val="lightGray"/>
              </w:rPr>
            </w:pPr>
            <w:r>
              <w:t xml:space="preserve">Apropriado: Sim </w:t>
            </w:r>
          </w:p>
          <w:p w14:paraId="4FB5ECD4" w14:textId="77777777" w:rsidR="008238E6" w:rsidRDefault="00D61AB3">
            <w:pPr>
              <w:rPr>
                <w:i/>
                <w:color w:val="FF0000"/>
                <w:highlight w:val="cyan"/>
              </w:rPr>
            </w:pPr>
            <w:r>
              <w:t xml:space="preserve">Os desfechos em saúde modelados foram retinopatia, proteinúria e risco de óbito por diabetes, com respectivas consequências em tempo e qualidade de vida. </w:t>
            </w:r>
          </w:p>
        </w:tc>
      </w:tr>
      <w:tr w:rsidR="008238E6" w14:paraId="4FB5ECDA" w14:textId="77777777" w:rsidTr="3EF7B8AA">
        <w:trPr>
          <w:trHeight w:val="454"/>
          <w:jc w:val="center"/>
        </w:trPr>
        <w:tc>
          <w:tcPr>
            <w:tcW w:w="1740" w:type="dxa"/>
            <w:shd w:val="clear" w:color="auto" w:fill="auto"/>
          </w:tcPr>
          <w:p w14:paraId="4FB5ECD6" w14:textId="77777777" w:rsidR="008238E6" w:rsidRDefault="00D61AB3">
            <w:pPr>
              <w:spacing w:before="120" w:after="120"/>
              <w:jc w:val="center"/>
              <w:rPr>
                <w:b/>
              </w:rPr>
            </w:pPr>
            <w:r>
              <w:rPr>
                <w:b/>
              </w:rPr>
              <w:t>Mensuração da efetividade</w:t>
            </w:r>
          </w:p>
        </w:tc>
        <w:tc>
          <w:tcPr>
            <w:tcW w:w="3285" w:type="dxa"/>
            <w:shd w:val="clear" w:color="auto" w:fill="auto"/>
          </w:tcPr>
          <w:p w14:paraId="4FB5ECD7" w14:textId="77777777" w:rsidR="008238E6" w:rsidRDefault="00D61AB3">
            <w:pPr>
              <w:spacing w:before="120" w:after="120"/>
              <w:rPr>
                <w:highlight w:val="white"/>
              </w:rPr>
            </w:pPr>
            <w:r>
              <w:rPr>
                <w:highlight w:val="white"/>
              </w:rPr>
              <w:t>"…a abordagem no modelo foi -&gt; assume-se sensibilidade e especificidade máximas" [para o teste genético].</w:t>
            </w:r>
          </w:p>
          <w:p w14:paraId="4FB5ECD8" w14:textId="77777777" w:rsidR="008238E6" w:rsidRDefault="00D61AB3">
            <w:pPr>
              <w:spacing w:before="120" w:after="120"/>
              <w:rPr>
                <w:highlight w:val="white"/>
              </w:rPr>
            </w:pPr>
            <w:r>
              <w:rPr>
                <w:highlight w:val="white"/>
              </w:rPr>
              <w:t>"Avaliando o impacto da realização do teste em termos de assertividade no manejo clínico do paciente; O tratamento assertivo foi entendido como sendo causador de uma redução de aproximadamente 1,2% nos níveis de hemoglobina glicada (média obtida dos estudos incluídos no dossiê clínico). O teste genético é, portanto, uma proxy do melhor cuidado que o paciente poderia ter.'</w:t>
            </w:r>
          </w:p>
        </w:tc>
        <w:tc>
          <w:tcPr>
            <w:tcW w:w="3855" w:type="dxa"/>
          </w:tcPr>
          <w:p w14:paraId="4FB5ECD9" w14:textId="613007EC" w:rsidR="008238E6" w:rsidRDefault="00D61AB3">
            <w:r>
              <w:t>A mensuração da efetividade está baseada em uma combinação</w:t>
            </w:r>
            <w:r w:rsidR="5DC00AE4">
              <w:t xml:space="preserve"> </w:t>
            </w:r>
            <w:r>
              <w:t xml:space="preserve">de pressupostos que deveriam ser verdadeiros e precisos para que os resultados sejam corretos e também em diferentes fontes de dados (Lind, M. et al. 2019; Bragg 2017; GoodSmith et al. 2019, entre outros).  Os pressupostos assumidos, embora teoricamente façam sentido diante do entendimento da doença, não tiveram seu grau de certeza mensurado no dossiê. Ou seja, a relação matemática entre probabilidade de obter tratamento clínico otimizado, tamanho do efeito em termos de redução da HbA1c média, tradução desse efeito em redução de consequências clínicas e nova tradução dessas consequências clínicas em termos de redução do risco de morte e de efeito na qualidade de vida exigiria um modelo </w:t>
            </w:r>
            <w:r w:rsidR="375BD46E">
              <w:t>mais bem</w:t>
            </w:r>
            <w:r>
              <w:t xml:space="preserve"> embasado, mais transparente e possivelmente mais complexo do que o que foi elaborado.</w:t>
            </w:r>
          </w:p>
        </w:tc>
      </w:tr>
      <w:tr w:rsidR="008238E6" w14:paraId="4FB5ECDE" w14:textId="77777777" w:rsidTr="3EF7B8AA">
        <w:trPr>
          <w:trHeight w:val="454"/>
          <w:jc w:val="center"/>
        </w:trPr>
        <w:tc>
          <w:tcPr>
            <w:tcW w:w="1740" w:type="dxa"/>
            <w:shd w:val="clear" w:color="auto" w:fill="auto"/>
          </w:tcPr>
          <w:p w14:paraId="4FB5ECDB" w14:textId="77777777" w:rsidR="008238E6" w:rsidRDefault="00D61AB3">
            <w:pPr>
              <w:spacing w:before="120" w:after="120"/>
              <w:jc w:val="center"/>
              <w:rPr>
                <w:b/>
              </w:rPr>
            </w:pPr>
            <w:r>
              <w:rPr>
                <w:b/>
              </w:rPr>
              <w:t xml:space="preserve">Medidas e quantificação de desfechos baseados em preferência </w:t>
            </w:r>
            <w:r>
              <w:rPr>
                <w:b/>
                <w:i/>
              </w:rPr>
              <w:t>(utility)</w:t>
            </w:r>
          </w:p>
        </w:tc>
        <w:tc>
          <w:tcPr>
            <w:tcW w:w="3285" w:type="dxa"/>
            <w:shd w:val="clear" w:color="auto" w:fill="auto"/>
          </w:tcPr>
          <w:p w14:paraId="4FB5ECDC" w14:textId="77777777" w:rsidR="008238E6" w:rsidRDefault="00D61AB3">
            <w:pPr>
              <w:spacing w:before="120" w:after="120"/>
              <w:rPr>
                <w:highlight w:val="yellow"/>
              </w:rPr>
            </w:pPr>
            <w:r>
              <w:t>Os dados de utilidade quanto ao uso de medicamentos e complicações devido a diabetes estão referenciados (Tabela 3 do documento 20241000198_Estudo de Avaliação Econômica em Saúde – AES.pdf)</w:t>
            </w:r>
            <w:r>
              <w:rPr>
                <w:highlight w:val="white"/>
              </w:rPr>
              <w:t xml:space="preserve"> </w:t>
            </w:r>
          </w:p>
        </w:tc>
        <w:tc>
          <w:tcPr>
            <w:tcW w:w="3855" w:type="dxa"/>
          </w:tcPr>
          <w:p w14:paraId="4FB5ECDD" w14:textId="77777777" w:rsidR="008238E6" w:rsidRDefault="00D61AB3">
            <w:pPr>
              <w:rPr>
                <w:i/>
                <w:color w:val="FF0000"/>
                <w:highlight w:val="cyan"/>
              </w:rPr>
            </w:pPr>
            <w:r>
              <w:t>Foram adotadas utilidades de três distintas fontes de dados que, embora apropriadas, agregam heterogeneidade à análise como um todo e refletem qualidade de vida e preferências em outros países.</w:t>
            </w:r>
          </w:p>
        </w:tc>
      </w:tr>
      <w:tr w:rsidR="008238E6" w14:paraId="4FB5ECE3" w14:textId="77777777" w:rsidTr="3EF7B8AA">
        <w:trPr>
          <w:trHeight w:val="454"/>
          <w:jc w:val="center"/>
        </w:trPr>
        <w:tc>
          <w:tcPr>
            <w:tcW w:w="1740" w:type="dxa"/>
            <w:shd w:val="clear" w:color="auto" w:fill="auto"/>
          </w:tcPr>
          <w:p w14:paraId="4FB5ECDF" w14:textId="77777777" w:rsidR="008238E6" w:rsidRDefault="00D61AB3">
            <w:pPr>
              <w:spacing w:before="120" w:after="120"/>
              <w:jc w:val="center"/>
              <w:rPr>
                <w:b/>
              </w:rPr>
            </w:pPr>
            <w:r>
              <w:rPr>
                <w:b/>
                <w:color w:val="000000"/>
                <w:highlight w:val="white"/>
              </w:rPr>
              <w:t>Estimativa de recursos e custos</w:t>
            </w:r>
          </w:p>
        </w:tc>
        <w:tc>
          <w:tcPr>
            <w:tcW w:w="3285" w:type="dxa"/>
            <w:shd w:val="clear" w:color="auto" w:fill="auto"/>
          </w:tcPr>
          <w:p w14:paraId="4FB5ECE0" w14:textId="77777777" w:rsidR="008238E6" w:rsidRDefault="00D61AB3">
            <w:pPr>
              <w:spacing w:before="120" w:after="120"/>
            </w:pPr>
            <w:r>
              <w:t xml:space="preserve">As estimativas referentes aos custos diretos médicos compreenderam a identificação, a mensuração e a valoração dos recursos utilizados no manejo clínico do diabetes. </w:t>
            </w:r>
          </w:p>
          <w:p w14:paraId="4FB5ECE1" w14:textId="77777777" w:rsidR="008238E6" w:rsidRDefault="00D61AB3">
            <w:pPr>
              <w:spacing w:before="120" w:after="120"/>
            </w:pPr>
            <w:r>
              <w:t>A valoração dos recursos em saúde foi realizada através de consulta à tabela de Classificação Brasileira Hierarquizada de Procedimentos Médicos (CBHPM) de 2021, e a tabela da Câmara de Regulação do Mercado de Medicamentos (CMED; Publicada em 04/07/2023).</w:t>
            </w:r>
          </w:p>
        </w:tc>
        <w:tc>
          <w:tcPr>
            <w:tcW w:w="3855" w:type="dxa"/>
          </w:tcPr>
          <w:p w14:paraId="0D805788" w14:textId="77777777" w:rsidR="008E4C26" w:rsidRDefault="00D61AB3">
            <w:pPr>
              <w:spacing w:before="120" w:after="120"/>
            </w:pPr>
            <w:r>
              <w:t xml:space="preserve">Observa-se falta de transparência no relatório e na planilha de avaliação econômica com relação à quantificação do consumo de recursos no manejo da retinopatia diabética e da albuminúria. Essa informação está parcialmente informada na planilha apenas. Para retinopatia, as quantidades de "fotocoagulação", "tratamento com anti angiogênico" e de "tomografia de coerência óptica" parecem ter sido obtidas das respectivas DUTs (59, 74 e 69). Outros elementos como consultas médicas e exame do sedimento urinário não apresentam fonte para quantificação. </w:t>
            </w:r>
          </w:p>
          <w:p w14:paraId="4FB5ECE2" w14:textId="5BF8820B" w:rsidR="008E4C26" w:rsidRDefault="00D61AB3" w:rsidP="009F2E37">
            <w:pPr>
              <w:spacing w:before="120" w:after="120"/>
            </w:pPr>
            <w:r>
              <w:t>O teste genético que é objeto da submissão foi valorado em R$1.102,61 e é mencionada a tabela CBHPM 2021 como referência para esse custo.</w:t>
            </w:r>
            <w:r w:rsidR="0CD12E23">
              <w:t xml:space="preserve"> No entanto, o código CBHPM </w:t>
            </w:r>
            <w:r w:rsidR="1BCC4413">
              <w:t>referenciado</w:t>
            </w:r>
            <w:r w:rsidR="0CD12E23">
              <w:t xml:space="preserve"> pelo proponente – 40503895 (Captura/Amplificação e subsequente sequenciamento de regiões genômicas DE MAIS DE 30 MEGABASES DE DNA TUMORAL PARA ANÁLISE DE MUTAÇÕES SOMÁTICAS por qualquer técnica de sequenciamento (Sanger ou qualquer forma de sequenciamento de nova geração – NGS); INCLUI EXOMA TUMORAL) não se aplica para a tecnologia em avaliação pois é referente a </w:t>
            </w:r>
            <w:r w:rsidR="5CF35634">
              <w:t>DNA</w:t>
            </w:r>
            <w:r w:rsidR="0CD12E23">
              <w:t xml:space="preserve"> tumoral.</w:t>
            </w:r>
          </w:p>
        </w:tc>
      </w:tr>
      <w:tr w:rsidR="008238E6" w14:paraId="4FB5ECE7" w14:textId="77777777" w:rsidTr="3EF7B8AA">
        <w:trPr>
          <w:trHeight w:val="454"/>
          <w:jc w:val="center"/>
        </w:trPr>
        <w:tc>
          <w:tcPr>
            <w:tcW w:w="1740" w:type="dxa"/>
            <w:shd w:val="clear" w:color="auto" w:fill="auto"/>
          </w:tcPr>
          <w:p w14:paraId="4FB5ECE4" w14:textId="77777777" w:rsidR="008238E6" w:rsidRDefault="00D61AB3">
            <w:pPr>
              <w:spacing w:before="120" w:after="120"/>
              <w:jc w:val="center"/>
              <w:rPr>
                <w:b/>
              </w:rPr>
            </w:pPr>
            <w:r>
              <w:rPr>
                <w:b/>
              </w:rPr>
              <w:t>Unidade monetária</w:t>
            </w:r>
          </w:p>
        </w:tc>
        <w:tc>
          <w:tcPr>
            <w:tcW w:w="3285" w:type="dxa"/>
            <w:shd w:val="clear" w:color="auto" w:fill="auto"/>
          </w:tcPr>
          <w:p w14:paraId="4FB5ECE5" w14:textId="77777777" w:rsidR="008238E6" w:rsidRDefault="00D61AB3">
            <w:pPr>
              <w:spacing w:before="120" w:after="120"/>
              <w:jc w:val="center"/>
            </w:pPr>
            <w:r>
              <w:t>Valores em reais (R$)</w:t>
            </w:r>
          </w:p>
        </w:tc>
        <w:tc>
          <w:tcPr>
            <w:tcW w:w="3855" w:type="dxa"/>
          </w:tcPr>
          <w:p w14:paraId="4FB5ECE6" w14:textId="77777777" w:rsidR="008238E6" w:rsidRDefault="00D61AB3">
            <w:pPr>
              <w:spacing w:before="120" w:after="120"/>
            </w:pPr>
            <w:r>
              <w:t>Parcialmente adequado, pois não fica claro o ano de referência para a unidade monetária (reais de 2024?). Muitos custos foram valorados pela tabela CBHPM 2021, sem menção de ajuste para inflação.</w:t>
            </w:r>
          </w:p>
        </w:tc>
      </w:tr>
      <w:tr w:rsidR="008238E6" w14:paraId="4FB5ECF6" w14:textId="77777777" w:rsidTr="3EF7B8AA">
        <w:trPr>
          <w:trHeight w:val="454"/>
          <w:jc w:val="center"/>
        </w:trPr>
        <w:tc>
          <w:tcPr>
            <w:tcW w:w="1740" w:type="dxa"/>
            <w:shd w:val="clear" w:color="auto" w:fill="auto"/>
          </w:tcPr>
          <w:p w14:paraId="4FB5ECE8" w14:textId="77777777" w:rsidR="008238E6" w:rsidRDefault="00D61AB3">
            <w:pPr>
              <w:spacing w:before="120" w:after="120"/>
              <w:jc w:val="center"/>
              <w:rPr>
                <w:b/>
              </w:rPr>
            </w:pPr>
            <w:r>
              <w:rPr>
                <w:b/>
              </w:rPr>
              <w:t>Modelagem</w:t>
            </w:r>
          </w:p>
        </w:tc>
        <w:tc>
          <w:tcPr>
            <w:tcW w:w="3285" w:type="dxa"/>
            <w:shd w:val="clear" w:color="auto" w:fill="auto"/>
          </w:tcPr>
          <w:p w14:paraId="4FB5ECE9" w14:textId="77777777" w:rsidR="008238E6" w:rsidRDefault="00D61AB3">
            <w:pPr>
              <w:spacing w:before="120" w:after="120"/>
            </w:pPr>
            <w:r>
              <w:t xml:space="preserve">Análise de custo-utilidade foi baseada em um modelo de Markov, no software Excel® (Windows 10; Microsoft Corporation, Redwood, WA, USA). </w:t>
            </w:r>
          </w:p>
        </w:tc>
        <w:tc>
          <w:tcPr>
            <w:tcW w:w="3855" w:type="dxa"/>
          </w:tcPr>
          <w:p w14:paraId="4FB5ECEA" w14:textId="77777777" w:rsidR="008238E6" w:rsidRDefault="00D61AB3">
            <w:pPr>
              <w:spacing w:before="120" w:after="120"/>
              <w:jc w:val="left"/>
            </w:pPr>
            <w:r>
              <w:t>Modelo parcialmente adequado.</w:t>
            </w:r>
          </w:p>
          <w:p w14:paraId="4FB5ECEB" w14:textId="40A721A6" w:rsidR="008238E6" w:rsidRDefault="00D61AB3">
            <w:pPr>
              <w:spacing w:before="120" w:after="120"/>
              <w:jc w:val="left"/>
            </w:pPr>
            <w:r>
              <w:t xml:space="preserve">Embora a escolha de um modelo de Markov do tipo coorte simulada seja uma opção aceitável para a avaliação econômica em questão, há </w:t>
            </w:r>
            <w:r w:rsidR="233D3779">
              <w:t xml:space="preserve">substancial </w:t>
            </w:r>
            <w:r>
              <w:t>falta de transparência com relação ao funcionamento do modelo. Por exemplo, o relatório da avaliação econômica sequer informa os estados de saúde que foram modelados ou a idade dos pacientes no início da modelagem. A seguir, seguem esclarecimentos sobre o modelo que foram obtidos pelo parecerista da ANS após estudo da planilha de modelagem e das limitadas informações do relatório do proponente:</w:t>
            </w:r>
          </w:p>
          <w:p w14:paraId="4FB5ECEC" w14:textId="77777777" w:rsidR="008238E6" w:rsidRDefault="00D61AB3">
            <w:pPr>
              <w:numPr>
                <w:ilvl w:val="0"/>
                <w:numId w:val="11"/>
              </w:numPr>
              <w:spacing w:before="120"/>
              <w:jc w:val="left"/>
            </w:pPr>
            <w:r>
              <w:t>Trata-se de uma coorte simulada de Markov</w:t>
            </w:r>
          </w:p>
          <w:p w14:paraId="4FB5ECED" w14:textId="77777777" w:rsidR="008238E6" w:rsidRDefault="00D61AB3">
            <w:pPr>
              <w:numPr>
                <w:ilvl w:val="0"/>
                <w:numId w:val="11"/>
              </w:numPr>
              <w:spacing w:before="0"/>
              <w:jc w:val="left"/>
            </w:pPr>
            <w:r>
              <w:t>Comparadores: (Braço 1) Tratamento otimizado do diabetes tipo MODY com migração para sulfonilureias para 79% dos casos de MODY identificados pelo teste genético (painel NGS para MODY) + diagnóstico clínico; vs (Braço 2) Tratamento não otimizado do diabetes, no qual parte dos pacientes tipo MODY seguem sendo manejados como DM1, tendo sido submetidos somente ao diagnóstico clínico para MODY, porém sem teste genético de qualquer tipo.</w:t>
            </w:r>
          </w:p>
          <w:p w14:paraId="4FB5ECEE" w14:textId="77777777" w:rsidR="008238E6" w:rsidRDefault="00D61AB3">
            <w:pPr>
              <w:numPr>
                <w:ilvl w:val="0"/>
                <w:numId w:val="11"/>
              </w:numPr>
              <w:spacing w:before="0"/>
              <w:jc w:val="left"/>
            </w:pPr>
            <w:r>
              <w:t>Idade ao início: os pacientes iniciam aos 25 anos de idade, após supostamente já terem sido classificados corretamente como MODY no Braço 1 do modelo.</w:t>
            </w:r>
          </w:p>
          <w:p w14:paraId="4FB5ECEF" w14:textId="77777777" w:rsidR="008238E6" w:rsidRDefault="00D61AB3">
            <w:pPr>
              <w:numPr>
                <w:ilvl w:val="0"/>
                <w:numId w:val="11"/>
              </w:numPr>
              <w:spacing w:before="0"/>
              <w:jc w:val="left"/>
            </w:pPr>
            <w:r>
              <w:t>Horizonte de análise: 100 anos</w:t>
            </w:r>
          </w:p>
          <w:p w14:paraId="4FB5ECF0" w14:textId="77777777" w:rsidR="008238E6" w:rsidRDefault="00D61AB3">
            <w:pPr>
              <w:numPr>
                <w:ilvl w:val="0"/>
                <w:numId w:val="11"/>
              </w:numPr>
              <w:spacing w:before="0"/>
              <w:jc w:val="left"/>
            </w:pPr>
            <w:r>
              <w:t>4 Estados de saúde modelados:</w:t>
            </w:r>
          </w:p>
          <w:p w14:paraId="4FB5ECF1" w14:textId="77777777" w:rsidR="008238E6" w:rsidRDefault="00D61AB3">
            <w:pPr>
              <w:numPr>
                <w:ilvl w:val="1"/>
                <w:numId w:val="11"/>
              </w:numPr>
              <w:spacing w:before="0"/>
              <w:jc w:val="left"/>
            </w:pPr>
            <w:r>
              <w:t>Sob tratamento adequado</w:t>
            </w:r>
          </w:p>
          <w:p w14:paraId="4FB5ECF2" w14:textId="77777777" w:rsidR="008238E6" w:rsidRDefault="00D61AB3">
            <w:pPr>
              <w:numPr>
                <w:ilvl w:val="1"/>
                <w:numId w:val="11"/>
              </w:numPr>
              <w:spacing w:before="0"/>
              <w:jc w:val="left"/>
            </w:pPr>
            <w:r>
              <w:t>Sob tratamento inadequado - sem adaptação</w:t>
            </w:r>
            <w:r>
              <w:tab/>
            </w:r>
          </w:p>
          <w:p w14:paraId="4FB5ECF3" w14:textId="77777777" w:rsidR="008238E6" w:rsidRDefault="00D61AB3">
            <w:pPr>
              <w:numPr>
                <w:ilvl w:val="1"/>
                <w:numId w:val="11"/>
              </w:numPr>
              <w:spacing w:before="0"/>
              <w:jc w:val="left"/>
            </w:pPr>
            <w:r>
              <w:t>Sob tratamento inadequado - perda de adesão</w:t>
            </w:r>
          </w:p>
          <w:p w14:paraId="4FB5ECF4" w14:textId="77777777" w:rsidR="008238E6" w:rsidRDefault="00D61AB3">
            <w:pPr>
              <w:numPr>
                <w:ilvl w:val="1"/>
                <w:numId w:val="11"/>
              </w:numPr>
              <w:spacing w:before="0"/>
              <w:jc w:val="left"/>
            </w:pPr>
            <w:r>
              <w:t>Óbitos</w:t>
            </w:r>
          </w:p>
          <w:p w14:paraId="064D81E4" w14:textId="77777777" w:rsidR="008238E6" w:rsidRPr="004E3D82" w:rsidRDefault="00D61AB3">
            <w:pPr>
              <w:numPr>
                <w:ilvl w:val="0"/>
                <w:numId w:val="11"/>
              </w:numPr>
              <w:spacing w:before="0" w:after="120"/>
              <w:jc w:val="left"/>
            </w:pPr>
            <w:r>
              <w:t>Em paralelo aos estados de saúde, são contabilizados, a cada ciclo, os casos acumulados de retinopatia diabética, de microalbuminúria e de mac</w:t>
            </w:r>
            <w:r w:rsidRPr="004E3D82">
              <w:t>roalbuminúria</w:t>
            </w:r>
          </w:p>
          <w:p w14:paraId="4FB5ECF5" w14:textId="667CAE7D" w:rsidR="00887351" w:rsidRDefault="00887351" w:rsidP="00887351">
            <w:pPr>
              <w:spacing w:before="0" w:after="120"/>
              <w:jc w:val="left"/>
            </w:pPr>
            <w:r w:rsidRPr="004E3D82">
              <w:t>Além da falta de transparência nos métodos de modelagem, a principal crítica a ser feita é a de não considerar métodos alternativos para identificação de MODY no braço comparador. Existe a calculadora estatística de probabilidade de MODY que pode ser complementada pelos testes "peptídeo-C" e "anticorpos anti-ilhotas de Langerhans", ambos já incluídos no rol. Assim, o comparador utilizado no modelo (ausência de teste diagnóstico para MODY) revela-se inadequado.</w:t>
            </w:r>
          </w:p>
        </w:tc>
      </w:tr>
      <w:tr w:rsidR="008238E6" w14:paraId="4FB5ED06" w14:textId="77777777" w:rsidTr="3EF7B8AA">
        <w:trPr>
          <w:trHeight w:val="454"/>
          <w:jc w:val="center"/>
        </w:trPr>
        <w:tc>
          <w:tcPr>
            <w:tcW w:w="1740" w:type="dxa"/>
            <w:shd w:val="clear" w:color="auto" w:fill="auto"/>
          </w:tcPr>
          <w:p w14:paraId="4FB5ECF7" w14:textId="77777777" w:rsidR="008238E6" w:rsidRDefault="00D61AB3">
            <w:pPr>
              <w:spacing w:before="120" w:after="120"/>
              <w:jc w:val="center"/>
              <w:rPr>
                <w:b/>
              </w:rPr>
            </w:pPr>
            <w:r>
              <w:rPr>
                <w:b/>
              </w:rPr>
              <w:t>Pressupostos do modelo</w:t>
            </w:r>
          </w:p>
        </w:tc>
        <w:tc>
          <w:tcPr>
            <w:tcW w:w="3285" w:type="dxa"/>
            <w:shd w:val="clear" w:color="auto" w:fill="auto"/>
          </w:tcPr>
          <w:p w14:paraId="4FB5ECF8" w14:textId="77777777" w:rsidR="008238E6" w:rsidRDefault="00D61AB3">
            <w:pPr>
              <w:spacing w:before="120" w:after="120"/>
            </w:pPr>
            <w:r>
              <w:t>Na coorte de intervenção os pacientes receberam tratamento de modo assertivo/correto/direcionado, enquanto a coorte comparadora os pacientes receberam tratamento padrão sem ganho clínico.</w:t>
            </w:r>
          </w:p>
          <w:p w14:paraId="4FB5ECF9" w14:textId="77777777" w:rsidR="008238E6" w:rsidRDefault="00D61AB3">
            <w:pPr>
              <w:spacing w:before="120" w:after="120"/>
            </w:pPr>
            <w:r>
              <w:t>O tratamento assertivo foi entendido como sendo causador de uma redução de aproximadamente 1,2% nos níveis de hemoglobina glicada (média obtida dos estudos incluídos no dossiê clínico).</w:t>
            </w:r>
          </w:p>
          <w:p w14:paraId="4FB5ECFA" w14:textId="77777777" w:rsidR="008238E6" w:rsidRDefault="00D61AB3">
            <w:pPr>
              <w:spacing w:before="120" w:after="120"/>
            </w:pPr>
            <w:r>
              <w:t>O modelo incluiu probabilidades de resultados por taxas de normalização da hemoglobina, onde os níveis de hemoglobina glicada são utilizados para cálculo de risco de complicações, como retinopatia, micro e macroalbuminúria.</w:t>
            </w:r>
          </w:p>
          <w:p w14:paraId="4FB5ECFB" w14:textId="77777777" w:rsidR="008238E6" w:rsidRDefault="00D61AB3">
            <w:pPr>
              <w:spacing w:before="120" w:after="120"/>
            </w:pPr>
            <w:r>
              <w:t>De acordo com o tipo de tratamento e as complicações devido ao diabetes foram aplicadas valores de utilidade e desutilidade.</w:t>
            </w:r>
          </w:p>
          <w:p w14:paraId="4FB5ECFC" w14:textId="77777777" w:rsidR="008238E6" w:rsidRDefault="00D61AB3">
            <w:pPr>
              <w:spacing w:before="120" w:after="120"/>
            </w:pPr>
            <w:r>
              <w:t>Foi considerado que nem todos os pacientes ao saber do diagnóstico de MODY, conseguem se adaptar ao uso de sulfonilureia, para tanto, foi adotada uma taxa de conversão de 79%. Para pacientes com MODY tipo GCK, a conduta clínica ao saber o diagnóstico corretamente é interromper qualquer tipo de tratamento.</w:t>
            </w:r>
          </w:p>
        </w:tc>
        <w:tc>
          <w:tcPr>
            <w:tcW w:w="3855" w:type="dxa"/>
          </w:tcPr>
          <w:p w14:paraId="4FB5ECFD" w14:textId="77777777" w:rsidR="008238E6" w:rsidRDefault="00D61AB3">
            <w:pPr>
              <w:spacing w:before="120" w:after="120"/>
              <w:jc w:val="left"/>
            </w:pPr>
            <w:r>
              <w:t>O modelo sustenta-se nas seguintes premissas:</w:t>
            </w:r>
          </w:p>
          <w:p w14:paraId="4FB5ECFE" w14:textId="77777777" w:rsidR="008238E6" w:rsidRDefault="00D61AB3">
            <w:pPr>
              <w:spacing w:before="120" w:after="120"/>
              <w:jc w:val="left"/>
            </w:pPr>
            <w:r>
              <w:t xml:space="preserve"> (1) acurácia perfeita do teste genético para MODY;</w:t>
            </w:r>
          </w:p>
          <w:p w14:paraId="4FB5ECFF" w14:textId="77777777" w:rsidR="008238E6" w:rsidRDefault="00D61AB3">
            <w:pPr>
              <w:spacing w:before="120" w:after="120"/>
              <w:jc w:val="left"/>
            </w:pPr>
            <w:r>
              <w:t>(2) ausência de identificação e tratamento otimizado de MODY no Braço 2 (ou seja, grupo comparador sem nenhum teste para MODY);</w:t>
            </w:r>
          </w:p>
          <w:p w14:paraId="4FB5ED00" w14:textId="77777777" w:rsidR="008238E6" w:rsidRDefault="00D61AB3">
            <w:pPr>
              <w:spacing w:before="120" w:after="120"/>
              <w:jc w:val="left"/>
            </w:pPr>
            <w:r>
              <w:t>(3) tradução do diagnóstico de MODY em tratamento assertivo com redução da HbA1c média em 1,2% para 79% dos pacientes MODY que passarão a ser tratados com sulfonilureias;</w:t>
            </w:r>
          </w:p>
          <w:p w14:paraId="4FB5ED01" w14:textId="77777777" w:rsidR="008238E6" w:rsidRDefault="00D61AB3">
            <w:pPr>
              <w:spacing w:before="120" w:after="120"/>
              <w:jc w:val="left"/>
            </w:pPr>
            <w:r>
              <w:t>(4) tradução da redução da HbA1c em benefício clínico, com redução nos casos de retinopatia e de micro/macroalbuminúria ao longo do tempo;</w:t>
            </w:r>
          </w:p>
          <w:p w14:paraId="4FB5ED02" w14:textId="77777777" w:rsidR="008238E6" w:rsidRDefault="00D61AB3">
            <w:pPr>
              <w:spacing w:before="120" w:after="120"/>
              <w:jc w:val="left"/>
            </w:pPr>
            <w:r>
              <w:t>(5) são atribuídas utilidades de acordo com o tratamento realizado (insulina vs sulfonilureia por via oral), também consideradas desutilidades pela presença ou não das complicações modeladas (retinopatia e micro/macroalbuminúria).</w:t>
            </w:r>
          </w:p>
          <w:p w14:paraId="4FB5ED03" w14:textId="77777777" w:rsidR="008238E6" w:rsidRDefault="008238E6">
            <w:pPr>
              <w:spacing w:before="120" w:after="120"/>
              <w:jc w:val="left"/>
            </w:pPr>
          </w:p>
          <w:p w14:paraId="4FB5ED04" w14:textId="77777777" w:rsidR="008238E6" w:rsidRDefault="00D61AB3">
            <w:pPr>
              <w:spacing w:before="120" w:after="120"/>
              <w:jc w:val="left"/>
            </w:pPr>
            <w:r>
              <w:t>O pressuposto (1) não é absolutamente verdadeiro, mas é aceitável; o pressuposto (2) pode ser considerado falso pois, em verdade, existe forma alternativa vigente para o diagnóstico de MODY que não foi modelada; os demais pressupostos apresentam elevado grau de incerteza e estão pobremente embasados nas referências fornecidas.</w:t>
            </w:r>
          </w:p>
          <w:p w14:paraId="4FB5ED05" w14:textId="77777777" w:rsidR="008238E6" w:rsidRDefault="008238E6">
            <w:pPr>
              <w:spacing w:before="120" w:after="120"/>
              <w:jc w:val="left"/>
            </w:pPr>
          </w:p>
        </w:tc>
      </w:tr>
      <w:tr w:rsidR="008238E6" w14:paraId="4FB5ED0B" w14:textId="77777777" w:rsidTr="3EF7B8AA">
        <w:trPr>
          <w:trHeight w:val="454"/>
          <w:jc w:val="center"/>
        </w:trPr>
        <w:tc>
          <w:tcPr>
            <w:tcW w:w="1740" w:type="dxa"/>
            <w:shd w:val="clear" w:color="auto" w:fill="auto"/>
          </w:tcPr>
          <w:p w14:paraId="4FB5ED07" w14:textId="77777777" w:rsidR="008238E6" w:rsidRDefault="00D61AB3">
            <w:pPr>
              <w:spacing w:before="120" w:after="120"/>
              <w:jc w:val="center"/>
              <w:rPr>
                <w:b/>
              </w:rPr>
            </w:pPr>
            <w:r>
              <w:rPr>
                <w:b/>
              </w:rPr>
              <w:t>Métodos analíticos</w:t>
            </w:r>
          </w:p>
        </w:tc>
        <w:tc>
          <w:tcPr>
            <w:tcW w:w="3285" w:type="dxa"/>
            <w:shd w:val="clear" w:color="auto" w:fill="auto"/>
          </w:tcPr>
          <w:p w14:paraId="4FB5ED08" w14:textId="77777777" w:rsidR="008238E6" w:rsidRDefault="00D61AB3">
            <w:pPr>
              <w:spacing w:before="120" w:after="120"/>
            </w:pPr>
            <w:r>
              <w:rPr>
                <w:highlight w:val="white"/>
              </w:rPr>
              <w:t xml:space="preserve">Calculada uma razão de custo-utilidade incremental, além de análise de sensibilidade determinística (apresentada pelo diagrama de tornado para cada uma das comparações de tratamento com uma variação de ± 10%) e probabilística (com uso de 1.000 simulações de Monte Carlo). </w:t>
            </w:r>
          </w:p>
        </w:tc>
        <w:tc>
          <w:tcPr>
            <w:tcW w:w="3855" w:type="dxa"/>
          </w:tcPr>
          <w:p w14:paraId="4FB5ED09" w14:textId="77777777" w:rsidR="008238E6" w:rsidRDefault="00D61AB3">
            <w:pPr>
              <w:spacing w:before="120" w:after="120"/>
            </w:pPr>
            <w:r>
              <w:t>A despeito das limitações da modelagem apontadas acima, os cálculos do modelo parecem corretos. É calculada uma razão de custo-utilidade incremental. Análises de sensibilidade determinísticas e probabilísticas são apresentadas.</w:t>
            </w:r>
          </w:p>
          <w:p w14:paraId="4FB5ED0A" w14:textId="77777777" w:rsidR="008238E6" w:rsidRDefault="008238E6">
            <w:pPr>
              <w:spacing w:before="120" w:after="120"/>
              <w:jc w:val="left"/>
              <w:rPr>
                <w:i/>
                <w:color w:val="FF0000"/>
                <w:highlight w:val="lightGray"/>
              </w:rPr>
            </w:pPr>
          </w:p>
        </w:tc>
      </w:tr>
      <w:tr w:rsidR="008238E6" w14:paraId="4FB5ED0F" w14:textId="77777777" w:rsidTr="3EF7B8AA">
        <w:trPr>
          <w:trHeight w:val="454"/>
          <w:jc w:val="center"/>
        </w:trPr>
        <w:tc>
          <w:tcPr>
            <w:tcW w:w="1740" w:type="dxa"/>
            <w:shd w:val="clear" w:color="auto" w:fill="auto"/>
          </w:tcPr>
          <w:p w14:paraId="4FB5ED0C" w14:textId="77777777" w:rsidR="008238E6" w:rsidRDefault="00D61AB3">
            <w:pPr>
              <w:spacing w:before="120" w:after="120"/>
              <w:jc w:val="center"/>
              <w:rPr>
                <w:b/>
              </w:rPr>
            </w:pPr>
            <w:r>
              <w:rPr>
                <w:b/>
              </w:rPr>
              <w:t>Planilha (transparência e reprodutibilidade)</w:t>
            </w:r>
          </w:p>
        </w:tc>
        <w:tc>
          <w:tcPr>
            <w:tcW w:w="3285" w:type="dxa"/>
            <w:shd w:val="clear" w:color="auto" w:fill="auto"/>
          </w:tcPr>
          <w:p w14:paraId="4FB5ED0D" w14:textId="77777777" w:rsidR="008238E6" w:rsidRDefault="00D61AB3">
            <w:pPr>
              <w:spacing w:before="120" w:after="120"/>
            </w:pPr>
            <w:r>
              <w:t>Apresenta planilha com o modelo em excel.</w:t>
            </w:r>
          </w:p>
        </w:tc>
        <w:tc>
          <w:tcPr>
            <w:tcW w:w="3855" w:type="dxa"/>
          </w:tcPr>
          <w:p w14:paraId="4FB5ED0E" w14:textId="413FD646" w:rsidR="008238E6" w:rsidRDefault="00D61AB3" w:rsidP="3EF7B8AA">
            <w:pPr>
              <w:spacing w:before="120" w:after="120"/>
              <w:jc w:val="left"/>
              <w:rPr>
                <w:i/>
                <w:iCs/>
                <w:color w:val="FF0000"/>
              </w:rPr>
            </w:pPr>
            <w:r>
              <w:t>Há falta de transparência com relação ao funcionamento do modelo. A planilha é de difícil entendimento e reprodução, mas, após análise, o parecerista verificou que funcionava como pretendido pelo proponente.</w:t>
            </w:r>
          </w:p>
        </w:tc>
      </w:tr>
    </w:tbl>
    <w:p w14:paraId="4FB5ED10" w14:textId="77777777" w:rsidR="008238E6" w:rsidRDefault="00D61AB3">
      <w:pPr>
        <w:spacing w:before="120" w:after="120" w:line="240" w:lineRule="auto"/>
        <w:jc w:val="right"/>
        <w:rPr>
          <w:i/>
          <w:sz w:val="20"/>
          <w:szCs w:val="20"/>
        </w:rPr>
      </w:pPr>
      <w:r>
        <w:rPr>
          <w:i/>
          <w:sz w:val="20"/>
          <w:szCs w:val="20"/>
          <w:highlight w:val="lightGray"/>
        </w:rPr>
        <w:t>[ECOG: Eastern Cooperative Oncology Group (escala de performance); SUS: Sistema Único de Saúde</w:t>
      </w:r>
      <w:r>
        <w:rPr>
          <w:i/>
          <w:sz w:val="20"/>
          <w:szCs w:val="20"/>
        </w:rPr>
        <w:t>]</w:t>
      </w:r>
    </w:p>
    <w:p w14:paraId="4FB5ED11" w14:textId="77777777" w:rsidR="008238E6" w:rsidRDefault="008238E6">
      <w:pPr>
        <w:rPr>
          <w:smallCaps/>
          <w:highlight w:val="cyan"/>
        </w:rPr>
      </w:pPr>
    </w:p>
    <w:tbl>
      <w:tblPr>
        <w:tblStyle w:val="affffffd"/>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D13" w14:textId="77777777" w:rsidTr="3EF7B8AA">
        <w:trPr>
          <w:trHeight w:val="416"/>
        </w:trPr>
        <w:tc>
          <w:tcPr>
            <w:tcW w:w="9072" w:type="dxa"/>
            <w:shd w:val="clear" w:color="auto" w:fill="D9E2F3"/>
            <w:vAlign w:val="center"/>
          </w:tcPr>
          <w:p w14:paraId="4FB5ED12" w14:textId="77777777" w:rsidR="008238E6" w:rsidRDefault="00D61AB3">
            <w:pPr>
              <w:spacing w:before="120" w:after="120"/>
              <w:jc w:val="center"/>
              <w:rPr>
                <w:b/>
              </w:rPr>
            </w:pPr>
            <w:r>
              <w:rPr>
                <w:b/>
              </w:rPr>
              <w:t>Comentários adicionais sobre os métodos da avaliação econômica apresentada pelo PROPONENTE</w:t>
            </w:r>
          </w:p>
        </w:tc>
      </w:tr>
      <w:tr w:rsidR="008238E6" w14:paraId="4FB5ED18" w14:textId="77777777" w:rsidTr="3EF7B8AA">
        <w:trPr>
          <w:trHeight w:val="750"/>
        </w:trPr>
        <w:tc>
          <w:tcPr>
            <w:tcW w:w="9072" w:type="dxa"/>
            <w:vAlign w:val="center"/>
          </w:tcPr>
          <w:p w14:paraId="4FB5ED14" w14:textId="77777777" w:rsidR="008238E6" w:rsidRDefault="00D61AB3">
            <w:pPr>
              <w:spacing w:before="120" w:after="120"/>
              <w:jc w:val="left"/>
            </w:pPr>
            <w:r>
              <w:t>Em resumo, os principais problemas identificados foram:</w:t>
            </w:r>
          </w:p>
          <w:p w14:paraId="4FB5ED15" w14:textId="77777777" w:rsidR="008238E6" w:rsidRPr="00C614A8" w:rsidRDefault="00D61AB3">
            <w:pPr>
              <w:numPr>
                <w:ilvl w:val="0"/>
                <w:numId w:val="2"/>
              </w:numPr>
              <w:spacing w:before="120"/>
              <w:jc w:val="left"/>
            </w:pPr>
            <w:r>
              <w:t>falta de transparência e difícil reprod</w:t>
            </w:r>
            <w:r w:rsidRPr="00C614A8">
              <w:t>utibilidade dos métodos da avaliação econômica;</w:t>
            </w:r>
          </w:p>
          <w:p w14:paraId="4497808B" w14:textId="024A6A7C" w:rsidR="008238E6" w:rsidRPr="00C614A8" w:rsidRDefault="00D61AB3" w:rsidP="00D612EA">
            <w:pPr>
              <w:numPr>
                <w:ilvl w:val="0"/>
                <w:numId w:val="2"/>
              </w:numPr>
              <w:spacing w:before="0"/>
              <w:jc w:val="left"/>
            </w:pPr>
            <w:r w:rsidRPr="00C614A8">
              <w:t>dependência de pressupostos com elevado grau de incerteza</w:t>
            </w:r>
            <w:r w:rsidR="00AB5DEB" w:rsidRPr="00C614A8">
              <w:t>;</w:t>
            </w:r>
          </w:p>
          <w:p w14:paraId="6C7B8CC0" w14:textId="5D7BA781" w:rsidR="00AB5DEB" w:rsidRDefault="00AB5DEB" w:rsidP="00D612EA">
            <w:pPr>
              <w:numPr>
                <w:ilvl w:val="0"/>
                <w:numId w:val="2"/>
              </w:numPr>
              <w:spacing w:before="0"/>
              <w:jc w:val="left"/>
            </w:pPr>
            <w:r w:rsidRPr="00C614A8">
              <w:t>seleção de comparador inadequado: o ideal teria sido comparar com a identificação dos casos de MODY pela calculadora clínica associada a dosagem do peptídeo C e dos anticorpos anti-ilhotas de Langerhans</w:t>
            </w:r>
            <w:r w:rsidR="00987164">
              <w:t>;</w:t>
            </w:r>
          </w:p>
          <w:p w14:paraId="06A03978" w14:textId="6B3B6460" w:rsidR="00987164" w:rsidRPr="00C614A8" w:rsidRDefault="4EDA8DCC" w:rsidP="00641D3E">
            <w:pPr>
              <w:numPr>
                <w:ilvl w:val="0"/>
                <w:numId w:val="2"/>
              </w:numPr>
              <w:tabs>
                <w:tab w:val="num" w:pos="720"/>
              </w:tabs>
              <w:spacing w:before="0"/>
              <w:jc w:val="left"/>
            </w:pPr>
            <w:r>
              <w:t>O código CBHPM referenciado pelo proponente (40503895) na definição do custo do procedimento não se aplica para a tecnologia em avaliação</w:t>
            </w:r>
            <w:r w:rsidR="46AB6921">
              <w:t>,</w:t>
            </w:r>
            <w:r>
              <w:t xml:space="preserve"> pois é referente a </w:t>
            </w:r>
            <w:r w:rsidR="5CF35634">
              <w:t>DNA</w:t>
            </w:r>
            <w:r>
              <w:t xml:space="preserve"> tumoral.</w:t>
            </w:r>
          </w:p>
          <w:p w14:paraId="4FB5ED17" w14:textId="00C1CB3B" w:rsidR="00D612EA" w:rsidRDefault="00D612EA" w:rsidP="00D612EA">
            <w:pPr>
              <w:spacing w:before="0"/>
              <w:ind w:left="720"/>
              <w:jc w:val="left"/>
            </w:pPr>
          </w:p>
        </w:tc>
      </w:tr>
    </w:tbl>
    <w:p w14:paraId="4FB5ED19" w14:textId="77777777" w:rsidR="008238E6" w:rsidRDefault="008238E6">
      <w:pPr>
        <w:rPr>
          <w:smallCaps/>
          <w:highlight w:val="cyan"/>
        </w:rPr>
      </w:pPr>
    </w:p>
    <w:p w14:paraId="4FB5ED1A" w14:textId="77777777" w:rsidR="008238E6" w:rsidRDefault="00D61AB3">
      <w:pPr>
        <w:pStyle w:val="Heading2"/>
      </w:pPr>
      <w:bookmarkStart w:id="54" w:name="_heading=h.37m2jsg" w:colFirst="0" w:colLast="0"/>
      <w:bookmarkEnd w:id="54"/>
      <w:r>
        <w:t xml:space="preserve">6.2 Resultados </w:t>
      </w:r>
    </w:p>
    <w:p w14:paraId="4FB5ED1B" w14:textId="77777777" w:rsidR="008238E6" w:rsidRDefault="00D61AB3">
      <w:pPr>
        <w:pStyle w:val="Heading4"/>
      </w:pPr>
      <w:bookmarkStart w:id="55" w:name="_heading=h.c10wyplhxy3" w:colFirst="0" w:colLast="0"/>
      <w:bookmarkEnd w:id="55"/>
      <w:r>
        <w:rPr>
          <w:b/>
        </w:rPr>
        <w:t>Quadro 23</w:t>
      </w:r>
      <w:r>
        <w:t>. Principais resultados apresentados pelo PROPONENTE.</w:t>
      </w:r>
    </w:p>
    <w:tbl>
      <w:tblPr>
        <w:tblStyle w:val="affffffe"/>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82"/>
        <w:gridCol w:w="3149"/>
        <w:gridCol w:w="4355"/>
      </w:tblGrid>
      <w:tr w:rsidR="008238E6" w14:paraId="4FB5ED1F" w14:textId="77777777" w:rsidTr="3EF7B8AA">
        <w:tc>
          <w:tcPr>
            <w:tcW w:w="1782" w:type="dxa"/>
            <w:shd w:val="clear" w:color="auto" w:fill="D9E2F3"/>
          </w:tcPr>
          <w:p w14:paraId="4FB5ED1C" w14:textId="77777777" w:rsidR="008238E6" w:rsidRDefault="00D61AB3">
            <w:pPr>
              <w:spacing w:before="120" w:after="120"/>
              <w:jc w:val="center"/>
            </w:pPr>
            <w:r>
              <w:rPr>
                <w:b/>
              </w:rPr>
              <w:t>Parâmetro</w:t>
            </w:r>
          </w:p>
        </w:tc>
        <w:tc>
          <w:tcPr>
            <w:tcW w:w="3149" w:type="dxa"/>
            <w:shd w:val="clear" w:color="auto" w:fill="D9E2F3"/>
          </w:tcPr>
          <w:p w14:paraId="4FB5ED1D" w14:textId="77777777" w:rsidR="008238E6" w:rsidRDefault="00D61AB3">
            <w:pPr>
              <w:spacing w:before="120" w:after="120"/>
              <w:jc w:val="center"/>
            </w:pPr>
            <w:r>
              <w:rPr>
                <w:b/>
              </w:rPr>
              <w:t>Proponente</w:t>
            </w:r>
          </w:p>
        </w:tc>
        <w:tc>
          <w:tcPr>
            <w:tcW w:w="4355" w:type="dxa"/>
            <w:shd w:val="clear" w:color="auto" w:fill="D9E2F3"/>
          </w:tcPr>
          <w:p w14:paraId="4FB5ED1E" w14:textId="77777777" w:rsidR="008238E6" w:rsidRDefault="00D61AB3">
            <w:pPr>
              <w:spacing w:before="120" w:after="120"/>
              <w:jc w:val="center"/>
            </w:pPr>
            <w:r>
              <w:rPr>
                <w:b/>
              </w:rPr>
              <w:t>Análise da proposta</w:t>
            </w:r>
          </w:p>
        </w:tc>
      </w:tr>
      <w:tr w:rsidR="008238E6" w14:paraId="4FB5ED2E" w14:textId="77777777" w:rsidTr="3EF7B8AA">
        <w:tc>
          <w:tcPr>
            <w:tcW w:w="1782" w:type="dxa"/>
          </w:tcPr>
          <w:p w14:paraId="4FB5ED20" w14:textId="77777777" w:rsidR="008238E6" w:rsidRDefault="00D61AB3">
            <w:pPr>
              <w:spacing w:before="120" w:after="120"/>
              <w:jc w:val="center"/>
              <w:rPr>
                <w:b/>
              </w:rPr>
            </w:pPr>
            <w:r>
              <w:rPr>
                <w:b/>
              </w:rPr>
              <w:t>Parâmetros do estudo</w:t>
            </w:r>
          </w:p>
        </w:tc>
        <w:tc>
          <w:tcPr>
            <w:tcW w:w="3149" w:type="dxa"/>
          </w:tcPr>
          <w:p w14:paraId="4FB5ED21" w14:textId="77777777" w:rsidR="008238E6" w:rsidRDefault="00D61AB3">
            <w:pPr>
              <w:spacing w:before="120" w:after="120"/>
            </w:pPr>
            <w:r>
              <w:t>Fornece 9 referências de estudos publicados para embasar os parâmetros de consumo de recursos, probabilidades de eventos, proporções de tipos de MODY, e medidas de utilidades.</w:t>
            </w:r>
          </w:p>
          <w:p w14:paraId="4FB5ED22" w14:textId="77777777" w:rsidR="008238E6" w:rsidRDefault="00D61AB3">
            <w:pPr>
              <w:spacing w:before="120" w:after="120"/>
            </w:pPr>
            <w:r>
              <w:t xml:space="preserve">O relatório apresenta os dados referentes aos custos e fontes utilizadas para a obtenção. </w:t>
            </w:r>
          </w:p>
          <w:p w14:paraId="4FB5ED23" w14:textId="77777777" w:rsidR="008238E6" w:rsidRDefault="00D61AB3">
            <w:pPr>
              <w:spacing w:before="120" w:after="120"/>
            </w:pPr>
            <w:r>
              <w:t>Recursos utilizados para tratamento de retinopatia e microalbuminúria:</w:t>
            </w:r>
          </w:p>
          <w:p w14:paraId="4FB5ED24" w14:textId="77777777" w:rsidR="008238E6" w:rsidRDefault="00D61AB3">
            <w:pPr>
              <w:numPr>
                <w:ilvl w:val="0"/>
                <w:numId w:val="8"/>
              </w:numPr>
              <w:spacing w:before="120"/>
            </w:pPr>
            <w:r>
              <w:t>Consulta Médica</w:t>
            </w:r>
          </w:p>
          <w:p w14:paraId="4FB5ED25" w14:textId="77777777" w:rsidR="008238E6" w:rsidRDefault="00D61AB3">
            <w:pPr>
              <w:numPr>
                <w:ilvl w:val="0"/>
                <w:numId w:val="8"/>
              </w:numPr>
              <w:spacing w:before="0"/>
            </w:pPr>
            <w:r>
              <w:t>Fotocoagulação (DUT 59)</w:t>
            </w:r>
          </w:p>
          <w:p w14:paraId="4FB5ED26" w14:textId="77777777" w:rsidR="008238E6" w:rsidRDefault="00D61AB3">
            <w:pPr>
              <w:numPr>
                <w:ilvl w:val="0"/>
                <w:numId w:val="8"/>
              </w:numPr>
              <w:spacing w:before="0"/>
            </w:pPr>
            <w:r>
              <w:t>Tratamento com antiangiogênico (DUT 74)</w:t>
            </w:r>
          </w:p>
          <w:p w14:paraId="4FB5ED27" w14:textId="77777777" w:rsidR="008238E6" w:rsidRDefault="00D61AB3">
            <w:pPr>
              <w:numPr>
                <w:ilvl w:val="0"/>
                <w:numId w:val="8"/>
              </w:numPr>
              <w:spacing w:before="0"/>
            </w:pPr>
            <w:r>
              <w:t>Tomografia de coerência óptica (DUT 69)</w:t>
            </w:r>
          </w:p>
          <w:p w14:paraId="4FB5ED28" w14:textId="77777777" w:rsidR="008238E6" w:rsidRDefault="00D61AB3">
            <w:pPr>
              <w:numPr>
                <w:ilvl w:val="0"/>
                <w:numId w:val="8"/>
              </w:numPr>
              <w:spacing w:before="0" w:after="120"/>
            </w:pPr>
            <w:r>
              <w:t>Exame de urina</w:t>
            </w:r>
          </w:p>
          <w:p w14:paraId="4FB5ED29" w14:textId="77777777" w:rsidR="008238E6" w:rsidRDefault="00D61AB3">
            <w:pPr>
              <w:spacing w:before="120" w:after="120"/>
            </w:pPr>
            <w:r>
              <w:t>Custo de procedimentos para manejo do diabetes:</w:t>
            </w:r>
          </w:p>
          <w:p w14:paraId="4FB5ED2A" w14:textId="77777777" w:rsidR="008238E6" w:rsidRDefault="00D61AB3">
            <w:pPr>
              <w:numPr>
                <w:ilvl w:val="0"/>
                <w:numId w:val="3"/>
              </w:numPr>
              <w:spacing w:before="120"/>
              <w:ind w:left="425"/>
            </w:pPr>
            <w:r>
              <w:t>Hemoglobina glicada (A1 total)</w:t>
            </w:r>
          </w:p>
          <w:p w14:paraId="4FB5ED2B" w14:textId="77777777" w:rsidR="008238E6" w:rsidRDefault="00D61AB3">
            <w:pPr>
              <w:numPr>
                <w:ilvl w:val="0"/>
                <w:numId w:val="3"/>
              </w:numPr>
              <w:spacing w:before="0"/>
              <w:ind w:left="425"/>
            </w:pPr>
            <w:r>
              <w:t>Dosagem de glicemia após sobrecarga com dextrosol ou glicose</w:t>
            </w:r>
          </w:p>
          <w:p w14:paraId="4FB5ED2C" w14:textId="77777777" w:rsidR="008238E6" w:rsidRDefault="00D61AB3">
            <w:pPr>
              <w:numPr>
                <w:ilvl w:val="0"/>
                <w:numId w:val="3"/>
              </w:numPr>
              <w:spacing w:before="0" w:after="120"/>
              <w:ind w:left="425"/>
            </w:pPr>
            <w:r>
              <w:t>Teste genético mody - Captura/Amplificação e subsequente sequenciamento de regiões genômicas</w:t>
            </w:r>
          </w:p>
        </w:tc>
        <w:tc>
          <w:tcPr>
            <w:tcW w:w="4355" w:type="dxa"/>
          </w:tcPr>
          <w:p w14:paraId="2F7DF610" w14:textId="77777777" w:rsidR="008238E6" w:rsidRDefault="00D61AB3">
            <w:pPr>
              <w:spacing w:before="120" w:after="120"/>
              <w:jc w:val="left"/>
            </w:pPr>
            <w:r>
              <w:t>No geral, apresenta apropriadamente os parâmetros de custos, referências e intervalos de confiança.</w:t>
            </w:r>
          </w:p>
          <w:p w14:paraId="4FB5ED2D" w14:textId="63F2F947" w:rsidR="009276DC" w:rsidRDefault="4EB2CC3F">
            <w:pPr>
              <w:spacing w:before="120" w:after="120"/>
              <w:jc w:val="left"/>
            </w:pPr>
            <w:r>
              <w:t xml:space="preserve">No entanto, o código CBHPM referenciado pelo proponente – 40503895 (Captura/Amplificação e subsequente sequenciamento de regiões genômicas DE MAIS DE 30 MEGABASES DE DNA TUMORAL PARA ANÁLISE DE MUTAÇÕES SOMÁTICAS por qualquer técnica de sequenciamento (Sanger ou qualquer forma de sequenciamento de nova geração – NGS); INCLUI EXOMA TUMORAL) não se aplica para a tecnologia em avaliação pois é referente a </w:t>
            </w:r>
            <w:r w:rsidR="5CF35634">
              <w:t>DNA</w:t>
            </w:r>
            <w:r>
              <w:t xml:space="preserve"> tumoral.</w:t>
            </w:r>
          </w:p>
        </w:tc>
      </w:tr>
      <w:tr w:rsidR="008238E6" w14:paraId="4FB5ED35" w14:textId="77777777" w:rsidTr="3EF7B8AA">
        <w:tc>
          <w:tcPr>
            <w:tcW w:w="1782" w:type="dxa"/>
          </w:tcPr>
          <w:p w14:paraId="4FB5ED2F" w14:textId="77777777" w:rsidR="008238E6" w:rsidRDefault="00D61AB3">
            <w:pPr>
              <w:spacing w:before="120" w:after="120"/>
              <w:jc w:val="center"/>
              <w:rPr>
                <w:b/>
              </w:rPr>
            </w:pPr>
            <w:r>
              <w:rPr>
                <w:b/>
              </w:rPr>
              <w:t>Estimativa do custo e da efetividade incrementais</w:t>
            </w:r>
          </w:p>
        </w:tc>
        <w:tc>
          <w:tcPr>
            <w:tcW w:w="3149" w:type="dxa"/>
          </w:tcPr>
          <w:p w14:paraId="4FB5ED30" w14:textId="77777777" w:rsidR="008238E6" w:rsidRDefault="00D61AB3">
            <w:pPr>
              <w:spacing w:before="120" w:after="120"/>
            </w:pPr>
            <w:r>
              <w:t>"O teste genético para diagnóstico de diabetes tipo MODY gerou um</w:t>
            </w:r>
          </w:p>
          <w:p w14:paraId="4FB5ED31" w14:textId="77777777" w:rsidR="008238E6" w:rsidRDefault="00D61AB3">
            <w:pPr>
              <w:spacing w:before="120" w:after="120"/>
            </w:pPr>
            <w:r>
              <w:t>incremento de utilidade de 1,24 comparado ao cuidado padrão sem teste genético, a um custo</w:t>
            </w:r>
          </w:p>
          <w:p w14:paraId="4FB5ED32" w14:textId="77777777" w:rsidR="008238E6" w:rsidRDefault="00D61AB3">
            <w:pPr>
              <w:spacing w:before="120" w:after="120"/>
            </w:pPr>
            <w:r>
              <w:t>incremental de R$798,95 por paciente. A razão de custo-efetividade incremental (RCEI) foi de</w:t>
            </w:r>
          </w:p>
          <w:p w14:paraId="4FB5ED33" w14:textId="77777777" w:rsidR="008238E6" w:rsidRDefault="00D61AB3">
            <w:pPr>
              <w:spacing w:before="120" w:after="120"/>
            </w:pPr>
            <w:r>
              <w:t>R$646,29 /AVAQ."</w:t>
            </w:r>
          </w:p>
        </w:tc>
        <w:tc>
          <w:tcPr>
            <w:tcW w:w="4355" w:type="dxa"/>
          </w:tcPr>
          <w:p w14:paraId="4FB5ED34" w14:textId="77777777" w:rsidR="008238E6" w:rsidRDefault="00D61AB3">
            <w:pPr>
              <w:spacing w:before="120" w:after="120"/>
              <w:rPr>
                <w:i/>
                <w:color w:val="FF0000"/>
              </w:rPr>
            </w:pPr>
            <w:r w:rsidRPr="004B0B41">
              <w:t>A RCUI calculada representa a comparação com ausência de teste com poder discriminatório para MODY na saúde suplementar. Se o comparador fosse a calculadora clínica de risco para MODY + peptídeo C + anticorpos anti-ilhotas de Langerhans, possivelmente as utilidades do comparador seriam mais elevadas.</w:t>
            </w:r>
          </w:p>
        </w:tc>
      </w:tr>
      <w:tr w:rsidR="008238E6" w14:paraId="4FB5ED41" w14:textId="77777777" w:rsidTr="3EF7B8AA">
        <w:tc>
          <w:tcPr>
            <w:tcW w:w="1782" w:type="dxa"/>
          </w:tcPr>
          <w:p w14:paraId="4FB5ED36" w14:textId="77777777" w:rsidR="008238E6" w:rsidRDefault="00D61AB3">
            <w:pPr>
              <w:spacing w:before="120" w:after="120"/>
              <w:jc w:val="center"/>
              <w:rPr>
                <w:b/>
              </w:rPr>
            </w:pPr>
            <w:r>
              <w:rPr>
                <w:b/>
              </w:rPr>
              <w:t>Análise de sensibilidade</w:t>
            </w:r>
          </w:p>
        </w:tc>
        <w:tc>
          <w:tcPr>
            <w:tcW w:w="3149" w:type="dxa"/>
          </w:tcPr>
          <w:p w14:paraId="4FB5ED37" w14:textId="77777777" w:rsidR="008238E6" w:rsidRDefault="00D61AB3">
            <w:pPr>
              <w:spacing w:before="120" w:after="120"/>
            </w:pPr>
            <w:r>
              <w:t>Na análise de sensibilidade dos parâmetros da análise de custo-efetividade, o parâmetro que mais influencia os resultados é o custo do teste genético, seguido pela utilidade para insulina e medicamento oral.</w:t>
            </w:r>
          </w:p>
          <w:p w14:paraId="4FB5ED38" w14:textId="77777777" w:rsidR="008238E6" w:rsidRDefault="00D61AB3">
            <w:pPr>
              <w:spacing w:before="120" w:after="120"/>
            </w:pPr>
            <w:r>
              <w:t>A análise de sensibilidade probabilística mostrou que a maioria das simulações apresentaram custos e benefícios incrementais positivos.</w:t>
            </w:r>
          </w:p>
        </w:tc>
        <w:tc>
          <w:tcPr>
            <w:tcW w:w="4355" w:type="dxa"/>
          </w:tcPr>
          <w:p w14:paraId="4FB5ED39" w14:textId="77777777" w:rsidR="008238E6" w:rsidRDefault="00D61AB3">
            <w:pPr>
              <w:spacing w:before="120" w:after="120"/>
            </w:pPr>
            <w:r>
              <w:t>As análises de sensibilidade realizadas foram apropriadas e indicam que, apesar das incertezas nos valores dos parâmetros, a gama de variações obtida resulta em RCEI de valor nominal considerado baixo (inferior a R$5.000,00/AVAQ em todas as simulações).</w:t>
            </w:r>
          </w:p>
          <w:p w14:paraId="4FB5ED3A" w14:textId="77777777" w:rsidR="008238E6" w:rsidRDefault="008238E6">
            <w:pPr>
              <w:spacing w:before="120" w:after="120"/>
            </w:pPr>
          </w:p>
          <w:p w14:paraId="4FB5ED3B" w14:textId="77777777" w:rsidR="008238E6" w:rsidRDefault="00D61AB3">
            <w:pPr>
              <w:spacing w:before="120" w:after="120"/>
            </w:pPr>
            <w:r>
              <w:t>No entanto, as análises de sensibilidade não capturam as incertezas advindas das principais suposições necessárias à análise:</w:t>
            </w:r>
          </w:p>
          <w:p w14:paraId="4FB5ED3C" w14:textId="77777777" w:rsidR="008238E6" w:rsidRDefault="00D61AB3">
            <w:pPr>
              <w:spacing w:before="120" w:after="120"/>
              <w:jc w:val="left"/>
            </w:pPr>
            <w:r>
              <w:t>(1) acurácia perfeita do teste genético para MODY;</w:t>
            </w:r>
          </w:p>
          <w:p w14:paraId="4FB5ED3E" w14:textId="305DB30B" w:rsidR="008238E6" w:rsidRPr="00FA4889" w:rsidRDefault="00D61AB3">
            <w:pPr>
              <w:spacing w:before="120" w:after="120"/>
              <w:jc w:val="left"/>
            </w:pPr>
            <w:r>
              <w:t>(</w:t>
            </w:r>
            <w:r w:rsidR="00623714">
              <w:t>2</w:t>
            </w:r>
            <w:r>
              <w:t>) tradução do diagnóstico de MODY em tratamento assertivo com redução da HbA1c média em 1,2% para 79% dos pacientes MODY que passarão a ser trat</w:t>
            </w:r>
            <w:r w:rsidRPr="00FA4889">
              <w:t>ados com sulfonilureia.</w:t>
            </w:r>
          </w:p>
          <w:p w14:paraId="4FB5ED3F" w14:textId="7BCCF7A0" w:rsidR="008238E6" w:rsidRDefault="00663433">
            <w:pPr>
              <w:spacing w:before="120" w:after="120"/>
              <w:jc w:val="left"/>
            </w:pPr>
            <w:r w:rsidRPr="00FA4889">
              <w:t>Idealmente deveria haver uma análise de sensibilidade com inclusão ou modificação do comparador para diagnóstico clínico de MODY + peptídeo C + dosagem de anticorpos anti-ilhotas de Langerhans.</w:t>
            </w:r>
          </w:p>
          <w:p w14:paraId="4FB5ED40" w14:textId="77777777" w:rsidR="008238E6" w:rsidRDefault="008238E6">
            <w:pPr>
              <w:spacing w:before="120" w:after="120"/>
              <w:jc w:val="left"/>
              <w:rPr>
                <w:i/>
                <w:color w:val="FF0000"/>
              </w:rPr>
            </w:pPr>
          </w:p>
        </w:tc>
      </w:tr>
      <w:tr w:rsidR="008238E6" w14:paraId="4FB5ED45" w14:textId="77777777" w:rsidTr="3EF7B8AA">
        <w:tc>
          <w:tcPr>
            <w:tcW w:w="1782" w:type="dxa"/>
          </w:tcPr>
          <w:p w14:paraId="4FB5ED42" w14:textId="77777777" w:rsidR="008238E6" w:rsidRDefault="00D61AB3">
            <w:pPr>
              <w:spacing w:before="120" w:after="120"/>
              <w:jc w:val="center"/>
              <w:rPr>
                <w:b/>
              </w:rPr>
            </w:pPr>
            <w:r>
              <w:rPr>
                <w:b/>
              </w:rPr>
              <w:t>Caracterização da heterogeneidade</w:t>
            </w:r>
          </w:p>
        </w:tc>
        <w:tc>
          <w:tcPr>
            <w:tcW w:w="3149" w:type="dxa"/>
          </w:tcPr>
          <w:p w14:paraId="4FB5ED43" w14:textId="77777777" w:rsidR="008238E6" w:rsidRDefault="00D61AB3">
            <w:pPr>
              <w:spacing w:before="120" w:after="120"/>
              <w:jc w:val="center"/>
            </w:pPr>
            <w:r>
              <w:t>Não se aplica.</w:t>
            </w:r>
          </w:p>
        </w:tc>
        <w:tc>
          <w:tcPr>
            <w:tcW w:w="4355" w:type="dxa"/>
          </w:tcPr>
          <w:p w14:paraId="4FB5ED44" w14:textId="77777777" w:rsidR="008238E6" w:rsidRDefault="00D61AB3">
            <w:pPr>
              <w:spacing w:before="120" w:after="120"/>
              <w:jc w:val="center"/>
              <w:rPr>
                <w:i/>
                <w:color w:val="FF0000"/>
              </w:rPr>
            </w:pPr>
            <w:r>
              <w:t>Não se aplica.</w:t>
            </w:r>
          </w:p>
        </w:tc>
      </w:tr>
    </w:tbl>
    <w:p w14:paraId="4FB5ED46" w14:textId="77777777" w:rsidR="008238E6" w:rsidRDefault="008238E6">
      <w:pPr>
        <w:rPr>
          <w:smallCaps/>
          <w:highlight w:val="cyan"/>
        </w:rPr>
      </w:pPr>
    </w:p>
    <w:tbl>
      <w:tblPr>
        <w:tblStyle w:val="afffffff"/>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D48" w14:textId="77777777">
        <w:trPr>
          <w:trHeight w:val="416"/>
        </w:trPr>
        <w:tc>
          <w:tcPr>
            <w:tcW w:w="9072" w:type="dxa"/>
            <w:shd w:val="clear" w:color="auto" w:fill="D9E2F3"/>
            <w:vAlign w:val="center"/>
          </w:tcPr>
          <w:p w14:paraId="4FB5ED47" w14:textId="77777777" w:rsidR="008238E6" w:rsidRDefault="00D61AB3">
            <w:pPr>
              <w:spacing w:before="120" w:after="120"/>
              <w:jc w:val="center"/>
              <w:rPr>
                <w:b/>
              </w:rPr>
            </w:pPr>
            <w:r>
              <w:rPr>
                <w:b/>
              </w:rPr>
              <w:t>Comentários adicionais sobre os resultados da avaliação econômica apresentada pelo PROPONENTE</w:t>
            </w:r>
          </w:p>
        </w:tc>
      </w:tr>
      <w:tr w:rsidR="008238E6" w14:paraId="4FB5ED4C" w14:textId="77777777">
        <w:trPr>
          <w:trHeight w:val="750"/>
        </w:trPr>
        <w:tc>
          <w:tcPr>
            <w:tcW w:w="9072" w:type="dxa"/>
            <w:vAlign w:val="center"/>
          </w:tcPr>
          <w:p w14:paraId="4FB5ED49" w14:textId="03C11861" w:rsidR="008238E6" w:rsidRDefault="00D61AB3">
            <w:pPr>
              <w:spacing w:before="120" w:after="120"/>
              <w:jc w:val="left"/>
            </w:pPr>
            <w:r w:rsidRPr="006670D3">
              <w:t>Principalmente e</w:t>
            </w:r>
            <w:r w:rsidR="008C5AD7" w:rsidRPr="006670D3">
              <w:t>m</w:t>
            </w:r>
            <w:r w:rsidRPr="006670D3">
              <w:t xml:space="preserve"> decorrência do baixo custo do teste genético no modelo, mesmo nos cenários mais extremos, a RCEI tende a ser baixa (&lt; R$5.000,00/AVAQ).</w:t>
            </w:r>
          </w:p>
          <w:p w14:paraId="4FB5ED4A" w14:textId="77777777" w:rsidR="008238E6" w:rsidRDefault="00D61AB3">
            <w:pPr>
              <w:spacing w:before="120" w:after="120"/>
              <w:jc w:val="left"/>
            </w:pPr>
            <w:r>
              <w:t>Há importantes incertezas a respeito dos principais pressupostos da análise, principalmente em relação à seleção do grupo comparador.</w:t>
            </w:r>
          </w:p>
          <w:p w14:paraId="4FB5ED4B" w14:textId="77777777" w:rsidR="008238E6" w:rsidRDefault="008238E6">
            <w:pPr>
              <w:spacing w:before="120" w:after="120"/>
              <w:jc w:val="center"/>
              <w:rPr>
                <w:i/>
                <w:color w:val="FF0000"/>
              </w:rPr>
            </w:pPr>
          </w:p>
        </w:tc>
      </w:tr>
    </w:tbl>
    <w:p w14:paraId="4FB5ED4D" w14:textId="77777777" w:rsidR="008238E6" w:rsidRDefault="008238E6">
      <w:pPr>
        <w:rPr>
          <w:smallCaps/>
          <w:highlight w:val="cyan"/>
        </w:rPr>
      </w:pPr>
    </w:p>
    <w:p w14:paraId="4FB5ED4E" w14:textId="77777777" w:rsidR="008238E6" w:rsidRDefault="00D61AB3">
      <w:pPr>
        <w:pStyle w:val="Heading4"/>
      </w:pPr>
      <w:bookmarkStart w:id="56" w:name="_heading=h.p2ss6x5f64kz" w:colFirst="0" w:colLast="0"/>
      <w:bookmarkEnd w:id="56"/>
      <w:r>
        <w:rPr>
          <w:b/>
        </w:rPr>
        <w:t xml:space="preserve">Quadro 24. </w:t>
      </w:r>
      <w:r>
        <w:t>Razão de custo-efetividade incremental (RCEI) da avaliação econômica elaborada pelo PROPONENTE.</w:t>
      </w:r>
    </w:p>
    <w:tbl>
      <w:tblPr>
        <w:tblStyle w:val="afffffff0"/>
        <w:tblW w:w="906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370"/>
        <w:gridCol w:w="1245"/>
        <w:gridCol w:w="1455"/>
        <w:gridCol w:w="1470"/>
        <w:gridCol w:w="1305"/>
        <w:gridCol w:w="1215"/>
      </w:tblGrid>
      <w:tr w:rsidR="008238E6" w14:paraId="4FB5ED56" w14:textId="77777777">
        <w:tc>
          <w:tcPr>
            <w:tcW w:w="2370" w:type="dxa"/>
            <w:shd w:val="clear" w:color="auto" w:fill="D9E2F3"/>
            <w:vAlign w:val="center"/>
          </w:tcPr>
          <w:p w14:paraId="4FB5ED4F" w14:textId="77777777" w:rsidR="008238E6" w:rsidRDefault="00D61AB3">
            <w:pPr>
              <w:spacing w:before="120" w:after="120"/>
              <w:rPr>
                <w:b/>
              </w:rPr>
            </w:pPr>
            <w:r>
              <w:rPr>
                <w:b/>
              </w:rPr>
              <w:t>Item</w:t>
            </w:r>
          </w:p>
        </w:tc>
        <w:tc>
          <w:tcPr>
            <w:tcW w:w="1245" w:type="dxa"/>
            <w:shd w:val="clear" w:color="auto" w:fill="D9E2F3"/>
          </w:tcPr>
          <w:p w14:paraId="4FB5ED50" w14:textId="77777777" w:rsidR="008238E6" w:rsidRDefault="00D61AB3">
            <w:pPr>
              <w:spacing w:before="120" w:after="120"/>
              <w:jc w:val="center"/>
              <w:rPr>
                <w:b/>
              </w:rPr>
            </w:pPr>
            <w:r>
              <w:rPr>
                <w:b/>
              </w:rPr>
              <w:t>Efetividade (Utilidade)</w:t>
            </w:r>
          </w:p>
        </w:tc>
        <w:tc>
          <w:tcPr>
            <w:tcW w:w="1455" w:type="dxa"/>
            <w:shd w:val="clear" w:color="auto" w:fill="D9E2F3"/>
          </w:tcPr>
          <w:p w14:paraId="4FB5ED51" w14:textId="77777777" w:rsidR="008238E6" w:rsidRDefault="00D61AB3">
            <w:pPr>
              <w:spacing w:before="120" w:after="120"/>
              <w:jc w:val="center"/>
              <w:rPr>
                <w:b/>
              </w:rPr>
            </w:pPr>
            <w:r>
              <w:rPr>
                <w:b/>
              </w:rPr>
              <w:t>Diferença de efetividade</w:t>
            </w:r>
          </w:p>
        </w:tc>
        <w:tc>
          <w:tcPr>
            <w:tcW w:w="1470" w:type="dxa"/>
            <w:shd w:val="clear" w:color="auto" w:fill="D9E2F3"/>
          </w:tcPr>
          <w:p w14:paraId="4FB5ED52" w14:textId="77777777" w:rsidR="008238E6" w:rsidRDefault="00D61AB3">
            <w:pPr>
              <w:spacing w:before="120" w:after="120"/>
              <w:jc w:val="center"/>
              <w:rPr>
                <w:b/>
              </w:rPr>
            </w:pPr>
            <w:r>
              <w:rPr>
                <w:b/>
              </w:rPr>
              <w:t>Custo</w:t>
            </w:r>
          </w:p>
        </w:tc>
        <w:tc>
          <w:tcPr>
            <w:tcW w:w="1305" w:type="dxa"/>
            <w:shd w:val="clear" w:color="auto" w:fill="D9E2F3"/>
          </w:tcPr>
          <w:p w14:paraId="4FB5ED53" w14:textId="77777777" w:rsidR="008238E6" w:rsidRDefault="00D61AB3">
            <w:pPr>
              <w:spacing w:before="120" w:after="120"/>
              <w:jc w:val="center"/>
              <w:rPr>
                <w:b/>
              </w:rPr>
            </w:pPr>
            <w:r>
              <w:rPr>
                <w:b/>
              </w:rPr>
              <w:t>Diferença de custo</w:t>
            </w:r>
          </w:p>
        </w:tc>
        <w:tc>
          <w:tcPr>
            <w:tcW w:w="1215" w:type="dxa"/>
            <w:shd w:val="clear" w:color="auto" w:fill="D9E2F3"/>
          </w:tcPr>
          <w:p w14:paraId="4FB5ED54" w14:textId="77777777" w:rsidR="008238E6" w:rsidRDefault="00D61AB3">
            <w:pPr>
              <w:spacing w:before="120" w:after="120"/>
              <w:jc w:val="center"/>
              <w:rPr>
                <w:b/>
              </w:rPr>
            </w:pPr>
            <w:r>
              <w:rPr>
                <w:b/>
              </w:rPr>
              <w:t>RCEI</w:t>
            </w:r>
          </w:p>
          <w:p w14:paraId="4FB5ED55" w14:textId="77777777" w:rsidR="008238E6" w:rsidRDefault="00D61AB3">
            <w:pPr>
              <w:spacing w:before="120" w:after="120"/>
              <w:jc w:val="center"/>
              <w:rPr>
                <w:b/>
              </w:rPr>
            </w:pPr>
            <w:r>
              <w:rPr>
                <w:b/>
              </w:rPr>
              <w:t>(R$/AVAQ)</w:t>
            </w:r>
          </w:p>
        </w:tc>
      </w:tr>
      <w:tr w:rsidR="008238E6" w14:paraId="4FB5ED5D" w14:textId="77777777">
        <w:tc>
          <w:tcPr>
            <w:tcW w:w="2370" w:type="dxa"/>
            <w:vAlign w:val="center"/>
          </w:tcPr>
          <w:p w14:paraId="4FB5ED57" w14:textId="77777777" w:rsidR="008238E6" w:rsidRDefault="00D61AB3">
            <w:pPr>
              <w:spacing w:before="120" w:after="120"/>
            </w:pPr>
            <w:r>
              <w:t>Tecnologia-Intervenção</w:t>
            </w:r>
          </w:p>
        </w:tc>
        <w:tc>
          <w:tcPr>
            <w:tcW w:w="1245" w:type="dxa"/>
          </w:tcPr>
          <w:p w14:paraId="4FB5ED58" w14:textId="77777777" w:rsidR="008238E6" w:rsidRDefault="00D61AB3">
            <w:pPr>
              <w:spacing w:before="120" w:after="120"/>
              <w:jc w:val="center"/>
            </w:pPr>
            <w:r>
              <w:t>12,21</w:t>
            </w:r>
          </w:p>
        </w:tc>
        <w:tc>
          <w:tcPr>
            <w:tcW w:w="1455" w:type="dxa"/>
            <w:vAlign w:val="center"/>
          </w:tcPr>
          <w:p w14:paraId="4FB5ED59" w14:textId="77777777" w:rsidR="008238E6" w:rsidRDefault="00D61AB3">
            <w:pPr>
              <w:spacing w:before="120" w:after="120"/>
              <w:jc w:val="center"/>
            </w:pPr>
            <w:r>
              <w:t>-</w:t>
            </w:r>
          </w:p>
        </w:tc>
        <w:tc>
          <w:tcPr>
            <w:tcW w:w="1470" w:type="dxa"/>
          </w:tcPr>
          <w:p w14:paraId="4FB5ED5A" w14:textId="77777777" w:rsidR="008238E6" w:rsidRDefault="00D61AB3">
            <w:pPr>
              <w:spacing w:before="120" w:after="120"/>
              <w:jc w:val="center"/>
            </w:pPr>
            <w:r>
              <w:t>R$ 1.393,49</w:t>
            </w:r>
          </w:p>
        </w:tc>
        <w:tc>
          <w:tcPr>
            <w:tcW w:w="1305" w:type="dxa"/>
          </w:tcPr>
          <w:p w14:paraId="4FB5ED5B" w14:textId="77777777" w:rsidR="008238E6" w:rsidRDefault="00D61AB3">
            <w:pPr>
              <w:spacing w:before="120" w:after="120"/>
              <w:jc w:val="center"/>
            </w:pPr>
            <w:r>
              <w:t>-</w:t>
            </w:r>
          </w:p>
        </w:tc>
        <w:tc>
          <w:tcPr>
            <w:tcW w:w="1215" w:type="dxa"/>
          </w:tcPr>
          <w:p w14:paraId="4FB5ED5C" w14:textId="77777777" w:rsidR="008238E6" w:rsidRDefault="00D61AB3">
            <w:pPr>
              <w:spacing w:before="120" w:after="120"/>
              <w:jc w:val="center"/>
            </w:pPr>
            <w:r>
              <w:t>-</w:t>
            </w:r>
          </w:p>
        </w:tc>
      </w:tr>
      <w:tr w:rsidR="008238E6" w14:paraId="4FB5ED64" w14:textId="77777777">
        <w:tc>
          <w:tcPr>
            <w:tcW w:w="2370" w:type="dxa"/>
            <w:vAlign w:val="center"/>
          </w:tcPr>
          <w:p w14:paraId="4FB5ED5E" w14:textId="77777777" w:rsidR="008238E6" w:rsidRDefault="00D61AB3">
            <w:pPr>
              <w:spacing w:before="120" w:after="120"/>
            </w:pPr>
            <w:r>
              <w:t>Comparador</w:t>
            </w:r>
          </w:p>
        </w:tc>
        <w:tc>
          <w:tcPr>
            <w:tcW w:w="1245" w:type="dxa"/>
          </w:tcPr>
          <w:p w14:paraId="4FB5ED5F" w14:textId="77777777" w:rsidR="008238E6" w:rsidRDefault="00D61AB3">
            <w:pPr>
              <w:spacing w:before="120" w:after="120"/>
              <w:jc w:val="center"/>
            </w:pPr>
            <w:r>
              <w:t>10,97</w:t>
            </w:r>
          </w:p>
        </w:tc>
        <w:tc>
          <w:tcPr>
            <w:tcW w:w="1455" w:type="dxa"/>
            <w:vAlign w:val="center"/>
          </w:tcPr>
          <w:p w14:paraId="4FB5ED60" w14:textId="77777777" w:rsidR="008238E6" w:rsidRDefault="00D61AB3">
            <w:pPr>
              <w:spacing w:before="120" w:after="120"/>
              <w:jc w:val="center"/>
            </w:pPr>
            <w:r>
              <w:t>-</w:t>
            </w:r>
          </w:p>
        </w:tc>
        <w:tc>
          <w:tcPr>
            <w:tcW w:w="1470" w:type="dxa"/>
          </w:tcPr>
          <w:p w14:paraId="4FB5ED61" w14:textId="77777777" w:rsidR="008238E6" w:rsidRDefault="00D61AB3">
            <w:pPr>
              <w:spacing w:before="120" w:after="120"/>
              <w:jc w:val="center"/>
            </w:pPr>
            <w:r>
              <w:t>R$ 594,54</w:t>
            </w:r>
          </w:p>
        </w:tc>
        <w:tc>
          <w:tcPr>
            <w:tcW w:w="1305" w:type="dxa"/>
          </w:tcPr>
          <w:p w14:paraId="4FB5ED62" w14:textId="77777777" w:rsidR="008238E6" w:rsidRDefault="00D61AB3">
            <w:pPr>
              <w:spacing w:before="120" w:after="120"/>
              <w:jc w:val="center"/>
            </w:pPr>
            <w:r>
              <w:t>-</w:t>
            </w:r>
          </w:p>
        </w:tc>
        <w:tc>
          <w:tcPr>
            <w:tcW w:w="1215" w:type="dxa"/>
          </w:tcPr>
          <w:p w14:paraId="4FB5ED63" w14:textId="77777777" w:rsidR="008238E6" w:rsidRDefault="00D61AB3">
            <w:pPr>
              <w:spacing w:before="120" w:after="120"/>
              <w:jc w:val="center"/>
            </w:pPr>
            <w:r>
              <w:t>-</w:t>
            </w:r>
          </w:p>
        </w:tc>
      </w:tr>
      <w:tr w:rsidR="008238E6" w14:paraId="4FB5ED6B" w14:textId="77777777">
        <w:tc>
          <w:tcPr>
            <w:tcW w:w="2370" w:type="dxa"/>
            <w:vAlign w:val="center"/>
          </w:tcPr>
          <w:p w14:paraId="4FB5ED65" w14:textId="77777777" w:rsidR="008238E6" w:rsidRDefault="008238E6">
            <w:pPr>
              <w:spacing w:before="120" w:after="120"/>
            </w:pPr>
          </w:p>
        </w:tc>
        <w:tc>
          <w:tcPr>
            <w:tcW w:w="1245" w:type="dxa"/>
          </w:tcPr>
          <w:p w14:paraId="4FB5ED66" w14:textId="77777777" w:rsidR="008238E6" w:rsidRDefault="00D61AB3">
            <w:pPr>
              <w:spacing w:before="120" w:after="120"/>
              <w:jc w:val="center"/>
            </w:pPr>
            <w:r>
              <w:t>-</w:t>
            </w:r>
          </w:p>
        </w:tc>
        <w:tc>
          <w:tcPr>
            <w:tcW w:w="1455" w:type="dxa"/>
            <w:vAlign w:val="center"/>
          </w:tcPr>
          <w:p w14:paraId="4FB5ED67" w14:textId="77777777" w:rsidR="008238E6" w:rsidRDefault="00D61AB3">
            <w:pPr>
              <w:spacing w:before="120" w:after="120"/>
              <w:jc w:val="center"/>
            </w:pPr>
            <w:r>
              <w:t>1,24</w:t>
            </w:r>
          </w:p>
        </w:tc>
        <w:tc>
          <w:tcPr>
            <w:tcW w:w="1470" w:type="dxa"/>
          </w:tcPr>
          <w:p w14:paraId="4FB5ED68" w14:textId="77777777" w:rsidR="008238E6" w:rsidRDefault="00D61AB3">
            <w:pPr>
              <w:spacing w:before="120" w:after="120"/>
              <w:jc w:val="center"/>
            </w:pPr>
            <w:r>
              <w:t>-</w:t>
            </w:r>
          </w:p>
        </w:tc>
        <w:tc>
          <w:tcPr>
            <w:tcW w:w="1305" w:type="dxa"/>
            <w:vAlign w:val="center"/>
          </w:tcPr>
          <w:p w14:paraId="4FB5ED69" w14:textId="77777777" w:rsidR="008238E6" w:rsidRDefault="00D61AB3">
            <w:pPr>
              <w:spacing w:before="120" w:after="120"/>
              <w:jc w:val="center"/>
            </w:pPr>
            <w:r>
              <w:t>R$ 798,95</w:t>
            </w:r>
          </w:p>
        </w:tc>
        <w:tc>
          <w:tcPr>
            <w:tcW w:w="1215" w:type="dxa"/>
          </w:tcPr>
          <w:p w14:paraId="4FB5ED6A" w14:textId="77777777" w:rsidR="008238E6" w:rsidRDefault="00D61AB3">
            <w:pPr>
              <w:spacing w:before="120" w:after="120"/>
              <w:jc w:val="center"/>
            </w:pPr>
            <w:r>
              <w:t>R$ 646,29</w:t>
            </w:r>
          </w:p>
        </w:tc>
      </w:tr>
    </w:tbl>
    <w:p w14:paraId="4FB5ED6C" w14:textId="77777777" w:rsidR="008238E6" w:rsidRDefault="008238E6">
      <w:pPr>
        <w:rPr>
          <w:smallCaps/>
          <w:highlight w:val="cyan"/>
        </w:rPr>
      </w:pPr>
      <w:bookmarkStart w:id="57" w:name="_heading=h.1mrcu09" w:colFirst="0" w:colLast="0"/>
      <w:bookmarkEnd w:id="57"/>
    </w:p>
    <w:tbl>
      <w:tblPr>
        <w:tblStyle w:val="afffffff1"/>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D6E" w14:textId="77777777" w:rsidTr="3EF7B8AA">
        <w:trPr>
          <w:trHeight w:val="416"/>
        </w:trPr>
        <w:tc>
          <w:tcPr>
            <w:tcW w:w="9072" w:type="dxa"/>
            <w:shd w:val="clear" w:color="auto" w:fill="D9E2F3"/>
            <w:vAlign w:val="center"/>
          </w:tcPr>
          <w:p w14:paraId="4FB5ED6D" w14:textId="77777777" w:rsidR="008238E6" w:rsidRDefault="00D61AB3">
            <w:pPr>
              <w:spacing w:before="120" w:after="120"/>
              <w:jc w:val="center"/>
              <w:rPr>
                <w:b/>
              </w:rPr>
            </w:pPr>
            <w:r>
              <w:rPr>
                <w:b/>
              </w:rPr>
              <w:t>Comentários adicionais sobre a razão de custo-efetividade incremental apresentada pelo PROPONENTE</w:t>
            </w:r>
          </w:p>
        </w:tc>
      </w:tr>
      <w:tr w:rsidR="008238E6" w14:paraId="4FB5ED70" w14:textId="77777777" w:rsidTr="3EF7B8AA">
        <w:trPr>
          <w:trHeight w:val="750"/>
        </w:trPr>
        <w:tc>
          <w:tcPr>
            <w:tcW w:w="9072" w:type="dxa"/>
            <w:vAlign w:val="center"/>
          </w:tcPr>
          <w:p w14:paraId="4FB5ED6F" w14:textId="16731090" w:rsidR="008238E6" w:rsidRDefault="00D61AB3" w:rsidP="3EF7B8AA">
            <w:pPr>
              <w:spacing w:before="120" w:after="120"/>
              <w:jc w:val="left"/>
              <w:rPr>
                <w:i/>
                <w:iCs/>
                <w:color w:val="FF0000"/>
              </w:rPr>
            </w:pPr>
            <w:r>
              <w:t xml:space="preserve">Existe elevado grau de incerteza nesse resultado obtido pelo proponente, porém, em razão do baixo valor adotado para o teste genético na proposta (R$ 1.102,61 por teste, valor da CBHPM 2021), é improvável que a RCEI chegasse a 1x o PIB per capita. </w:t>
            </w:r>
          </w:p>
        </w:tc>
      </w:tr>
    </w:tbl>
    <w:p w14:paraId="4FB5ED71" w14:textId="77777777" w:rsidR="008238E6" w:rsidRDefault="008238E6">
      <w:pPr>
        <w:rPr>
          <w:smallCaps/>
          <w:highlight w:val="cyan"/>
        </w:rPr>
      </w:pPr>
      <w:bookmarkStart w:id="58" w:name="_heading=h.2cmig3dwkief" w:colFirst="0" w:colLast="0"/>
      <w:bookmarkEnd w:id="58"/>
    </w:p>
    <w:p w14:paraId="4FB5ED72" w14:textId="77777777" w:rsidR="008238E6" w:rsidRDefault="008238E6">
      <w:pPr>
        <w:rPr>
          <w:smallCaps/>
          <w:highlight w:val="cyan"/>
        </w:rPr>
      </w:pPr>
      <w:bookmarkStart w:id="59" w:name="_heading=h.46r0co2" w:colFirst="0" w:colLast="0"/>
      <w:bookmarkEnd w:id="59"/>
    </w:p>
    <w:p w14:paraId="4FB5ED73" w14:textId="77777777" w:rsidR="008238E6" w:rsidRDefault="00D61AB3">
      <w:pPr>
        <w:pStyle w:val="Heading2"/>
      </w:pPr>
      <w:r>
        <w:t>6.3 Discussão e conclusões</w:t>
      </w:r>
    </w:p>
    <w:p w14:paraId="4FB5ED74" w14:textId="77777777" w:rsidR="008238E6" w:rsidRDefault="00D61AB3">
      <w:pPr>
        <w:pStyle w:val="Heading4"/>
      </w:pPr>
      <w:bookmarkStart w:id="60" w:name="_heading=h.ww5ajtg1i1f2" w:colFirst="0" w:colLast="0"/>
      <w:bookmarkEnd w:id="60"/>
      <w:r>
        <w:rPr>
          <w:b/>
        </w:rPr>
        <w:t xml:space="preserve">Quadro 25. </w:t>
      </w:r>
      <w:r>
        <w:t>Componentes da discussão e conclusões.</w:t>
      </w:r>
    </w:p>
    <w:tbl>
      <w:tblPr>
        <w:tblStyle w:val="afffffff2"/>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26"/>
        <w:gridCol w:w="3260"/>
        <w:gridCol w:w="4500"/>
      </w:tblGrid>
      <w:tr w:rsidR="008238E6" w14:paraId="4FB5ED78" w14:textId="77777777">
        <w:tc>
          <w:tcPr>
            <w:tcW w:w="1526" w:type="dxa"/>
            <w:shd w:val="clear" w:color="auto" w:fill="D9E2F3"/>
          </w:tcPr>
          <w:p w14:paraId="4FB5ED75" w14:textId="77777777" w:rsidR="008238E6" w:rsidRDefault="00D61AB3">
            <w:pPr>
              <w:spacing w:before="120" w:after="120"/>
              <w:jc w:val="center"/>
            </w:pPr>
            <w:r>
              <w:rPr>
                <w:b/>
              </w:rPr>
              <w:t>Componente</w:t>
            </w:r>
          </w:p>
        </w:tc>
        <w:tc>
          <w:tcPr>
            <w:tcW w:w="3260" w:type="dxa"/>
            <w:shd w:val="clear" w:color="auto" w:fill="D9E2F3"/>
          </w:tcPr>
          <w:p w14:paraId="4FB5ED76" w14:textId="77777777" w:rsidR="008238E6" w:rsidRDefault="00D61AB3">
            <w:pPr>
              <w:spacing w:before="120" w:after="120"/>
              <w:jc w:val="center"/>
            </w:pPr>
            <w:r>
              <w:rPr>
                <w:b/>
              </w:rPr>
              <w:t>Proponente</w:t>
            </w:r>
          </w:p>
        </w:tc>
        <w:tc>
          <w:tcPr>
            <w:tcW w:w="4500" w:type="dxa"/>
            <w:shd w:val="clear" w:color="auto" w:fill="D9E2F3"/>
          </w:tcPr>
          <w:p w14:paraId="4FB5ED77" w14:textId="77777777" w:rsidR="008238E6" w:rsidRDefault="00D61AB3">
            <w:pPr>
              <w:spacing w:before="120" w:after="120"/>
              <w:jc w:val="center"/>
              <w:rPr>
                <w:b/>
              </w:rPr>
            </w:pPr>
            <w:r>
              <w:rPr>
                <w:b/>
              </w:rPr>
              <w:t>Análise da proposta</w:t>
            </w:r>
          </w:p>
        </w:tc>
      </w:tr>
      <w:tr w:rsidR="008238E6" w14:paraId="4FB5ED7D" w14:textId="77777777">
        <w:tc>
          <w:tcPr>
            <w:tcW w:w="1526" w:type="dxa"/>
          </w:tcPr>
          <w:p w14:paraId="4FB5ED79" w14:textId="77777777" w:rsidR="008238E6" w:rsidRDefault="00D61AB3">
            <w:pPr>
              <w:spacing w:before="120" w:after="120"/>
              <w:jc w:val="center"/>
              <w:rPr>
                <w:b/>
              </w:rPr>
            </w:pPr>
            <w:r>
              <w:rPr>
                <w:b/>
              </w:rPr>
              <w:t>Principais achados</w:t>
            </w:r>
          </w:p>
        </w:tc>
        <w:tc>
          <w:tcPr>
            <w:tcW w:w="3260" w:type="dxa"/>
          </w:tcPr>
          <w:p w14:paraId="4FB5ED7A" w14:textId="77777777" w:rsidR="008238E6" w:rsidRDefault="00D61AB3">
            <w:pPr>
              <w:spacing w:before="120" w:after="120"/>
            </w:pPr>
            <w:r>
              <w:t xml:space="preserve">O teste genético para diagnóstico de diabetes tipo MODY gerou um incremento de utilidade de 1,24 comparado ao cuidado padrão sem teste genético, a um custo incremental de R$798,95 por paciente. A razão de custo-efetividade incremental (RCEI) foi de R$646,29 /AVAQ. </w:t>
            </w:r>
          </w:p>
        </w:tc>
        <w:tc>
          <w:tcPr>
            <w:tcW w:w="4500" w:type="dxa"/>
          </w:tcPr>
          <w:p w14:paraId="4FB5ED7B" w14:textId="77777777" w:rsidR="008238E6" w:rsidRDefault="00D61AB3">
            <w:pPr>
              <w:spacing w:before="120" w:after="120"/>
              <w:jc w:val="left"/>
            </w:pPr>
            <w:r>
              <w:t>Principalmente em decorrência do baixo custo do teste genético no modelo, mesmo nos cenários mais extremos, a RCEI tende a ser baixa (&lt; R$5.000,00/AVAQ).</w:t>
            </w:r>
          </w:p>
          <w:p w14:paraId="4FB5ED7C" w14:textId="77777777" w:rsidR="008238E6" w:rsidRDefault="00D61AB3">
            <w:pPr>
              <w:spacing w:before="120" w:after="120"/>
              <w:jc w:val="left"/>
              <w:rPr>
                <w:i/>
                <w:color w:val="FF0000"/>
              </w:rPr>
            </w:pPr>
            <w:r>
              <w:t>Há importantes incertezas a respeito dos principais pressupostos da análise, principalmente em relação à seleção do grupo comparador.</w:t>
            </w:r>
          </w:p>
        </w:tc>
      </w:tr>
      <w:tr w:rsidR="008238E6" w14:paraId="4FB5ED84" w14:textId="77777777">
        <w:tc>
          <w:tcPr>
            <w:tcW w:w="1526" w:type="dxa"/>
          </w:tcPr>
          <w:p w14:paraId="4FB5ED7E" w14:textId="77777777" w:rsidR="008238E6" w:rsidRDefault="00D61AB3">
            <w:pPr>
              <w:spacing w:before="120" w:after="120"/>
              <w:jc w:val="center"/>
              <w:rPr>
                <w:b/>
              </w:rPr>
            </w:pPr>
            <w:r>
              <w:rPr>
                <w:b/>
              </w:rPr>
              <w:t>Limitações</w:t>
            </w:r>
          </w:p>
        </w:tc>
        <w:tc>
          <w:tcPr>
            <w:tcW w:w="3260" w:type="dxa"/>
            <w:vAlign w:val="center"/>
          </w:tcPr>
          <w:p w14:paraId="4FB5ED7F" w14:textId="77777777" w:rsidR="008238E6" w:rsidRDefault="00D61AB3">
            <w:pPr>
              <w:spacing w:before="120" w:after="120"/>
              <w:jc w:val="center"/>
            </w:pPr>
            <w:r>
              <w:t>Não foram descritas</w:t>
            </w:r>
          </w:p>
        </w:tc>
        <w:tc>
          <w:tcPr>
            <w:tcW w:w="4500" w:type="dxa"/>
          </w:tcPr>
          <w:p w14:paraId="4FB5ED80" w14:textId="77777777" w:rsidR="008238E6" w:rsidRDefault="00D61AB3">
            <w:pPr>
              <w:spacing w:before="120" w:after="120"/>
              <w:jc w:val="left"/>
            </w:pPr>
            <w:r>
              <w:t>As limitações identificadas foram as seguintes:</w:t>
            </w:r>
          </w:p>
          <w:p w14:paraId="4FB5ED81" w14:textId="77777777" w:rsidR="008238E6" w:rsidRDefault="00D61AB3">
            <w:pPr>
              <w:numPr>
                <w:ilvl w:val="0"/>
                <w:numId w:val="2"/>
              </w:numPr>
              <w:spacing w:before="120" w:after="120"/>
              <w:jc w:val="left"/>
            </w:pPr>
            <w:r>
              <w:t>falta de transparência e difícil reprodutibilidade dos métodos da avaliação econômica;</w:t>
            </w:r>
          </w:p>
          <w:p w14:paraId="4FB5ED82" w14:textId="77777777" w:rsidR="008238E6" w:rsidRDefault="008238E6">
            <w:pPr>
              <w:spacing w:before="120" w:after="120"/>
              <w:ind w:left="720"/>
              <w:jc w:val="left"/>
            </w:pPr>
          </w:p>
          <w:p w14:paraId="4FB5ED83" w14:textId="0B86411F" w:rsidR="008238E6" w:rsidRDefault="00D61AB3">
            <w:pPr>
              <w:numPr>
                <w:ilvl w:val="0"/>
                <w:numId w:val="2"/>
              </w:numPr>
              <w:spacing w:before="120" w:after="120"/>
              <w:jc w:val="left"/>
            </w:pPr>
            <w:r>
              <w:t>dependência de pressupostos com elevado grau de incerteza, principalmente: (1) acurácia perfeita do teste genético para MODY; (</w:t>
            </w:r>
            <w:r w:rsidR="00822D6E">
              <w:t>2</w:t>
            </w:r>
            <w:r>
              <w:t>) tradução do diagnóstico de MODY em tratamento assertivo com redução da HbA1c média em 1,2% para 79% dos pacientes MODY que passarão a ser tratados com sulfonilureias.</w:t>
            </w:r>
          </w:p>
        </w:tc>
      </w:tr>
      <w:tr w:rsidR="008238E6" w14:paraId="4FB5ED89" w14:textId="77777777">
        <w:tc>
          <w:tcPr>
            <w:tcW w:w="1526" w:type="dxa"/>
          </w:tcPr>
          <w:p w14:paraId="4FB5ED85" w14:textId="77777777" w:rsidR="008238E6" w:rsidRDefault="00D61AB3">
            <w:pPr>
              <w:spacing w:before="120" w:after="120"/>
              <w:jc w:val="center"/>
              <w:rPr>
                <w:b/>
              </w:rPr>
            </w:pPr>
            <w:r>
              <w:rPr>
                <w:b/>
              </w:rPr>
              <w:t>Generalização dos achados</w:t>
            </w:r>
          </w:p>
          <w:p w14:paraId="4FB5ED86" w14:textId="77777777" w:rsidR="008238E6" w:rsidRDefault="00D61AB3">
            <w:pPr>
              <w:spacing w:before="120" w:after="120"/>
              <w:jc w:val="center"/>
              <w:rPr>
                <w:b/>
              </w:rPr>
            </w:pPr>
            <w:r>
              <w:rPr>
                <w:b/>
              </w:rPr>
              <w:t>Implicações para a prática</w:t>
            </w:r>
          </w:p>
        </w:tc>
        <w:tc>
          <w:tcPr>
            <w:tcW w:w="3260" w:type="dxa"/>
          </w:tcPr>
          <w:p w14:paraId="4FB5ED87" w14:textId="77777777" w:rsidR="008238E6" w:rsidRDefault="00D61AB3">
            <w:pPr>
              <w:spacing w:before="120" w:after="120"/>
            </w:pPr>
            <w:r>
              <w:t>A incorporação do teste genético para diagnóstico de diabetes tipo MODY possibilita uma gestão terapêutica mais eficaz e melhora a qualidade de vida dos pacientes bem como sua progressão e prevenção de comorbidades.</w:t>
            </w:r>
          </w:p>
        </w:tc>
        <w:tc>
          <w:tcPr>
            <w:tcW w:w="4500" w:type="dxa"/>
          </w:tcPr>
          <w:p w14:paraId="4FB5ED88" w14:textId="4279EEAA" w:rsidR="008238E6" w:rsidRDefault="00D61AB3">
            <w:pPr>
              <w:spacing w:before="120" w:after="120"/>
              <w:jc w:val="left"/>
            </w:pPr>
            <w:r>
              <w:t>Caso sejam aceitos os pressupostos relatados acima, o modelo possui validade interna (ou seja, não está intrinseca</w:t>
            </w:r>
            <w:r w:rsidRPr="00977637">
              <w:t xml:space="preserve">mente errado e calcula o que se propõe a calcular). </w:t>
            </w:r>
            <w:r w:rsidR="0046034B" w:rsidRPr="00977637">
              <w:t>No entanto, os resultados observados são em comparação a um comparador ruim, que não é representativo do cenário atual da saúde suplementar, que conta com médicos clínicos e endocrinologistas que podem classificar com alta acurácia os pacientes MODY com o uso de calculadoras clínicas e de testes laboratoriais já incluídos no rol da ANS (peptídeo-C e anticorpos anti-ilhotas de Langerhans).</w:t>
            </w:r>
          </w:p>
        </w:tc>
      </w:tr>
    </w:tbl>
    <w:p w14:paraId="4FB5ED8A" w14:textId="77777777" w:rsidR="008238E6" w:rsidRDefault="00D61AB3">
      <w:r>
        <w:br w:type="page"/>
      </w:r>
    </w:p>
    <w:p w14:paraId="4FB5ED8B" w14:textId="77777777" w:rsidR="008238E6" w:rsidRDefault="008238E6"/>
    <w:tbl>
      <w:tblPr>
        <w:tblStyle w:val="afffffff3"/>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D8D" w14:textId="77777777">
        <w:trPr>
          <w:trHeight w:val="416"/>
        </w:trPr>
        <w:tc>
          <w:tcPr>
            <w:tcW w:w="9072" w:type="dxa"/>
            <w:shd w:val="clear" w:color="auto" w:fill="D9E2F3"/>
            <w:vAlign w:val="center"/>
          </w:tcPr>
          <w:p w14:paraId="4FB5ED8C" w14:textId="77777777" w:rsidR="008238E6" w:rsidRDefault="00D61AB3">
            <w:pPr>
              <w:spacing w:before="120" w:after="120"/>
              <w:jc w:val="center"/>
              <w:rPr>
                <w:b/>
              </w:rPr>
            </w:pPr>
            <w:r>
              <w:rPr>
                <w:b/>
              </w:rPr>
              <w:t>Comentários adicionais sobre a discussão e as conclusões apresentadas pelo PROPONENTE</w:t>
            </w:r>
          </w:p>
        </w:tc>
      </w:tr>
      <w:tr w:rsidR="008238E6" w14:paraId="4FB5ED8F" w14:textId="77777777">
        <w:trPr>
          <w:trHeight w:val="750"/>
        </w:trPr>
        <w:tc>
          <w:tcPr>
            <w:tcW w:w="9072" w:type="dxa"/>
            <w:vAlign w:val="center"/>
          </w:tcPr>
          <w:p w14:paraId="4FB5ED8E" w14:textId="77777777" w:rsidR="008238E6" w:rsidRDefault="00D61AB3">
            <w:pPr>
              <w:spacing w:before="120" w:after="120"/>
              <w:jc w:val="left"/>
            </w:pPr>
            <w:r>
              <w:t>Discussões e conclusões superficiais no dossiê econômico do proponente.</w:t>
            </w:r>
          </w:p>
        </w:tc>
      </w:tr>
    </w:tbl>
    <w:p w14:paraId="4FB5ED90" w14:textId="77777777" w:rsidR="008238E6" w:rsidRDefault="008238E6"/>
    <w:p w14:paraId="4FB5ED91" w14:textId="77777777" w:rsidR="008238E6" w:rsidRDefault="00D61AB3">
      <w:pPr>
        <w:pStyle w:val="Heading2"/>
      </w:pPr>
      <w:bookmarkStart w:id="61" w:name="_heading=h.2lwamvv" w:colFirst="0" w:colLast="0"/>
      <w:bookmarkEnd w:id="61"/>
      <w:r>
        <w:t>6.4 Elementos pós-texto</w:t>
      </w:r>
    </w:p>
    <w:p w14:paraId="4FB5ED92" w14:textId="77777777" w:rsidR="008238E6" w:rsidRDefault="00D61AB3">
      <w:pPr>
        <w:pStyle w:val="Heading4"/>
      </w:pPr>
      <w:bookmarkStart w:id="62" w:name="_heading=h.z46d9zwggvqt" w:colFirst="0" w:colLast="0"/>
      <w:bookmarkEnd w:id="62"/>
      <w:r>
        <w:rPr>
          <w:b/>
        </w:rPr>
        <w:t xml:space="preserve">Quadro 26. </w:t>
      </w:r>
      <w:r>
        <w:t>Elementos pós-texto.</w:t>
      </w:r>
    </w:p>
    <w:tbl>
      <w:tblPr>
        <w:tblStyle w:val="afffffff4"/>
        <w:tblW w:w="8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238E6" w14:paraId="4FB5ED96" w14:textId="77777777">
        <w:trPr>
          <w:trHeight w:val="454"/>
          <w:jc w:val="center"/>
        </w:trPr>
        <w:tc>
          <w:tcPr>
            <w:tcW w:w="2046" w:type="dxa"/>
            <w:shd w:val="clear" w:color="auto" w:fill="D9E2F3"/>
          </w:tcPr>
          <w:p w14:paraId="4FB5ED93" w14:textId="77777777" w:rsidR="008238E6" w:rsidRDefault="00D61AB3">
            <w:pPr>
              <w:spacing w:before="120" w:after="120"/>
              <w:jc w:val="center"/>
              <w:rPr>
                <w:b/>
              </w:rPr>
            </w:pPr>
            <w:r>
              <w:rPr>
                <w:b/>
              </w:rPr>
              <w:t>Critério</w:t>
            </w:r>
          </w:p>
        </w:tc>
        <w:tc>
          <w:tcPr>
            <w:tcW w:w="2976" w:type="dxa"/>
            <w:shd w:val="clear" w:color="auto" w:fill="D9E2F3"/>
          </w:tcPr>
          <w:p w14:paraId="4FB5ED94" w14:textId="77777777" w:rsidR="008238E6" w:rsidRDefault="00D61AB3">
            <w:pPr>
              <w:spacing w:before="120" w:after="120"/>
              <w:jc w:val="center"/>
              <w:rPr>
                <w:b/>
              </w:rPr>
            </w:pPr>
            <w:r>
              <w:rPr>
                <w:b/>
              </w:rPr>
              <w:t>Proponente</w:t>
            </w:r>
          </w:p>
        </w:tc>
        <w:tc>
          <w:tcPr>
            <w:tcW w:w="3885" w:type="dxa"/>
            <w:shd w:val="clear" w:color="auto" w:fill="D9E2F3"/>
          </w:tcPr>
          <w:p w14:paraId="4FB5ED95" w14:textId="77777777" w:rsidR="008238E6" w:rsidRDefault="00D61AB3">
            <w:pPr>
              <w:spacing w:before="120" w:after="120"/>
              <w:jc w:val="center"/>
              <w:rPr>
                <w:b/>
              </w:rPr>
            </w:pPr>
            <w:r>
              <w:rPr>
                <w:b/>
              </w:rPr>
              <w:t>Análise da proposta</w:t>
            </w:r>
          </w:p>
        </w:tc>
      </w:tr>
      <w:tr w:rsidR="008238E6" w14:paraId="4FB5ED9A" w14:textId="77777777">
        <w:trPr>
          <w:trHeight w:val="454"/>
          <w:jc w:val="center"/>
        </w:trPr>
        <w:tc>
          <w:tcPr>
            <w:tcW w:w="2046" w:type="dxa"/>
            <w:shd w:val="clear" w:color="auto" w:fill="auto"/>
          </w:tcPr>
          <w:p w14:paraId="4FB5ED97" w14:textId="77777777" w:rsidR="008238E6" w:rsidRDefault="00D61AB3">
            <w:pPr>
              <w:spacing w:before="120" w:after="120"/>
              <w:jc w:val="center"/>
              <w:rPr>
                <w:b/>
              </w:rPr>
            </w:pPr>
            <w:r>
              <w:rPr>
                <w:b/>
                <w:color w:val="000000"/>
              </w:rPr>
              <w:t>Declaração de conflito de interesse</w:t>
            </w:r>
          </w:p>
        </w:tc>
        <w:tc>
          <w:tcPr>
            <w:tcW w:w="2976" w:type="dxa"/>
            <w:shd w:val="clear" w:color="auto" w:fill="auto"/>
            <w:vAlign w:val="center"/>
          </w:tcPr>
          <w:p w14:paraId="4FB5ED98" w14:textId="77777777" w:rsidR="008238E6" w:rsidRDefault="00D61AB3">
            <w:pPr>
              <w:spacing w:before="120" w:after="120"/>
              <w:jc w:val="center"/>
            </w:pPr>
            <w:r>
              <w:t>Não se aplica</w:t>
            </w:r>
          </w:p>
        </w:tc>
        <w:tc>
          <w:tcPr>
            <w:tcW w:w="3885" w:type="dxa"/>
          </w:tcPr>
          <w:p w14:paraId="4FB5ED99" w14:textId="77777777" w:rsidR="008238E6" w:rsidRDefault="00D61AB3">
            <w:pPr>
              <w:spacing w:before="120" w:after="120"/>
            </w:pPr>
            <w:r>
              <w:t>A declaração de conflitos de interesse é objeto de análise pela ANS devido à proteção de dados confidenciais. O PARECERISTA não teve acesso ao documento.</w:t>
            </w:r>
          </w:p>
        </w:tc>
      </w:tr>
      <w:tr w:rsidR="008238E6" w14:paraId="4FB5ED9E" w14:textId="77777777">
        <w:trPr>
          <w:trHeight w:val="454"/>
          <w:jc w:val="center"/>
        </w:trPr>
        <w:tc>
          <w:tcPr>
            <w:tcW w:w="2046" w:type="dxa"/>
            <w:shd w:val="clear" w:color="auto" w:fill="auto"/>
          </w:tcPr>
          <w:p w14:paraId="4FB5ED9B" w14:textId="77777777" w:rsidR="008238E6" w:rsidRDefault="00D61AB3">
            <w:pPr>
              <w:spacing w:before="120" w:after="120"/>
              <w:jc w:val="center"/>
              <w:rPr>
                <w:b/>
              </w:rPr>
            </w:pPr>
            <w:r>
              <w:rPr>
                <w:b/>
                <w:color w:val="000000"/>
              </w:rPr>
              <w:t>Referências</w:t>
            </w:r>
          </w:p>
        </w:tc>
        <w:tc>
          <w:tcPr>
            <w:tcW w:w="2976" w:type="dxa"/>
            <w:shd w:val="clear" w:color="auto" w:fill="auto"/>
          </w:tcPr>
          <w:p w14:paraId="4FB5ED9C" w14:textId="77777777" w:rsidR="008238E6" w:rsidRDefault="00D61AB3">
            <w:pPr>
              <w:spacing w:before="120" w:after="120"/>
              <w:jc w:val="center"/>
            </w:pPr>
            <w:r>
              <w:t>Adequadas</w:t>
            </w:r>
          </w:p>
        </w:tc>
        <w:tc>
          <w:tcPr>
            <w:tcW w:w="3885" w:type="dxa"/>
          </w:tcPr>
          <w:p w14:paraId="4FB5ED9D" w14:textId="77777777" w:rsidR="008238E6" w:rsidRDefault="00D61AB3">
            <w:pPr>
              <w:spacing w:before="120" w:after="120"/>
              <w:jc w:val="center"/>
              <w:rPr>
                <w:i/>
                <w:color w:val="FF0000"/>
              </w:rPr>
            </w:pPr>
            <w:r>
              <w:t>Adequadas</w:t>
            </w:r>
          </w:p>
        </w:tc>
      </w:tr>
    </w:tbl>
    <w:p w14:paraId="4FB5ED9F" w14:textId="77777777" w:rsidR="008238E6" w:rsidRDefault="008238E6"/>
    <w:tbl>
      <w:tblPr>
        <w:tblStyle w:val="afffffff5"/>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DA1" w14:textId="77777777">
        <w:trPr>
          <w:trHeight w:val="416"/>
        </w:trPr>
        <w:tc>
          <w:tcPr>
            <w:tcW w:w="9072" w:type="dxa"/>
            <w:shd w:val="clear" w:color="auto" w:fill="D9E2F3"/>
            <w:vAlign w:val="center"/>
          </w:tcPr>
          <w:p w14:paraId="4FB5EDA0" w14:textId="77777777" w:rsidR="008238E6" w:rsidRDefault="00D61AB3">
            <w:pPr>
              <w:spacing w:before="120" w:after="120"/>
              <w:jc w:val="center"/>
              <w:rPr>
                <w:b/>
              </w:rPr>
            </w:pPr>
            <w:r>
              <w:rPr>
                <w:b/>
              </w:rPr>
              <w:t>Comentários adicionais sobre os elementos pós-texto apresentados pelo PROPONENTE</w:t>
            </w:r>
          </w:p>
        </w:tc>
      </w:tr>
      <w:tr w:rsidR="008238E6" w14:paraId="4FB5EDA3" w14:textId="77777777">
        <w:trPr>
          <w:trHeight w:val="750"/>
        </w:trPr>
        <w:tc>
          <w:tcPr>
            <w:tcW w:w="9072" w:type="dxa"/>
            <w:vAlign w:val="center"/>
          </w:tcPr>
          <w:p w14:paraId="4FB5EDA2" w14:textId="77777777" w:rsidR="008238E6" w:rsidRDefault="00D61AB3">
            <w:pPr>
              <w:spacing w:before="120" w:after="120"/>
              <w:jc w:val="center"/>
              <w:rPr>
                <w:i/>
                <w:color w:val="FF0000"/>
              </w:rPr>
            </w:pPr>
            <w:r>
              <w:t>Sem comentários adicionais.</w:t>
            </w:r>
          </w:p>
        </w:tc>
      </w:tr>
    </w:tbl>
    <w:p w14:paraId="4FB5EDA4" w14:textId="77777777" w:rsidR="008238E6" w:rsidRDefault="00D61AB3">
      <w:r>
        <w:t xml:space="preserve">O </w:t>
      </w:r>
      <w:r>
        <w:rPr>
          <w:i/>
        </w:rPr>
        <w:t xml:space="preserve">checklist </w:t>
      </w:r>
      <w:r>
        <w:t xml:space="preserve">de análise crítica da avaliação econômica da tecnologia em saúde correspondente e utilizado no processo de atualização do Rol está apresentado no </w:t>
      </w:r>
      <w:r>
        <w:rPr>
          <w:b/>
        </w:rPr>
        <w:t>Anexo 1</w:t>
      </w:r>
      <w:r>
        <w:t>.</w:t>
      </w:r>
    </w:p>
    <w:p w14:paraId="4FB5EDA5" w14:textId="77777777" w:rsidR="008238E6" w:rsidRDefault="008238E6"/>
    <w:p w14:paraId="4FB5EDA6" w14:textId="77777777" w:rsidR="008238E6" w:rsidRDefault="00D61AB3">
      <w:pPr>
        <w:pStyle w:val="Heading2"/>
      </w:pPr>
      <w:r>
        <w:br w:type="page"/>
      </w:r>
    </w:p>
    <w:p w14:paraId="4FB5EDA7" w14:textId="77777777" w:rsidR="008238E6" w:rsidRDefault="00D61AB3">
      <w:pPr>
        <w:pStyle w:val="Heading1"/>
      </w:pPr>
      <w:bookmarkStart w:id="63" w:name="_heading=h.111kx3o" w:colFirst="0" w:colLast="0"/>
      <w:bookmarkEnd w:id="63"/>
      <w:r>
        <w:t>7. ANÁLISE DE IMPACTO ORÇAMENTÁRIO</w:t>
      </w:r>
    </w:p>
    <w:p w14:paraId="4FB5EDA8" w14:textId="77777777" w:rsidR="008238E6" w:rsidRDefault="00D61AB3">
      <w:pPr>
        <w:ind w:firstLine="720"/>
      </w:pPr>
      <w:bookmarkStart w:id="64" w:name="_heading=h.3l18frh" w:colFirst="0" w:colLast="0"/>
      <w:bookmarkEnd w:id="64"/>
      <w:r>
        <w:t xml:space="preserve">A análise de impacto orçamentário (AIO) foi avaliada a partir de elementos contidos no roteiro elaborado pela equipe técnica da ANS e considerando as Diretrizes Metodológicas publicadas pelo Ministério da Saúde para a elaboração de análises de impacto orçamentário </w:t>
      </w:r>
      <w:r>
        <w:rPr>
          <w:vertAlign w:val="superscript"/>
        </w:rPr>
        <w:t xml:space="preserve">3 </w:t>
      </w:r>
      <w:r>
        <w:t xml:space="preserve">e adaptadas para o contexto da saúde suplementar. </w:t>
      </w:r>
    </w:p>
    <w:p w14:paraId="4FB5EDA9" w14:textId="77777777" w:rsidR="008238E6" w:rsidRDefault="00D61AB3">
      <w:pPr>
        <w:pStyle w:val="Heading2"/>
        <w:rPr>
          <w:sz w:val="26"/>
          <w:szCs w:val="26"/>
        </w:rPr>
      </w:pPr>
      <w:bookmarkStart w:id="65" w:name="_heading=h.206ipza" w:colFirst="0" w:colLast="0"/>
      <w:bookmarkEnd w:id="65"/>
      <w:r>
        <w:rPr>
          <w:sz w:val="26"/>
          <w:szCs w:val="26"/>
        </w:rPr>
        <w:t xml:space="preserve">7.1 Métodos </w:t>
      </w:r>
    </w:p>
    <w:p w14:paraId="4FB5EDAA" w14:textId="77777777" w:rsidR="008238E6" w:rsidRDefault="00D61AB3">
      <w:pPr>
        <w:pStyle w:val="Heading4"/>
      </w:pPr>
      <w:bookmarkStart w:id="66" w:name="_heading=h.im2iwvmr1gr7" w:colFirst="0" w:colLast="0"/>
      <w:bookmarkEnd w:id="66"/>
      <w:r>
        <w:rPr>
          <w:b/>
        </w:rPr>
        <w:t>Quadro 27</w:t>
      </w:r>
      <w:r>
        <w:t>. Principais parâmetros da AIO (versão do PROPONENTE e do PARECERISTA).</w:t>
      </w:r>
    </w:p>
    <w:tbl>
      <w:tblPr>
        <w:tblW w:w="9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1755"/>
        <w:gridCol w:w="2130"/>
        <w:gridCol w:w="2535"/>
        <w:gridCol w:w="2730"/>
      </w:tblGrid>
      <w:tr w:rsidR="00754A1C" w14:paraId="4FB5EDAF" w14:textId="77777777" w:rsidTr="3EF7B8AA">
        <w:trPr>
          <w:trHeight w:val="454"/>
          <w:jc w:val="center"/>
        </w:trPr>
        <w:tc>
          <w:tcPr>
            <w:tcW w:w="1755" w:type="dxa"/>
            <w:shd w:val="clear" w:color="auto" w:fill="D9E2F3"/>
            <w:vAlign w:val="center"/>
          </w:tcPr>
          <w:p w14:paraId="4FB5EDAB" w14:textId="77777777" w:rsidR="008238E6" w:rsidRDefault="00D61AB3">
            <w:pPr>
              <w:spacing w:before="120" w:after="120"/>
              <w:jc w:val="center"/>
              <w:rPr>
                <w:b/>
              </w:rPr>
            </w:pPr>
            <w:r>
              <w:rPr>
                <w:b/>
              </w:rPr>
              <w:t>Parâmetros</w:t>
            </w:r>
          </w:p>
        </w:tc>
        <w:tc>
          <w:tcPr>
            <w:tcW w:w="2130" w:type="dxa"/>
            <w:shd w:val="clear" w:color="auto" w:fill="D9E2F3"/>
            <w:vAlign w:val="center"/>
          </w:tcPr>
          <w:p w14:paraId="4FB5EDAC" w14:textId="77777777" w:rsidR="008238E6" w:rsidRDefault="00D61AB3">
            <w:pPr>
              <w:spacing w:before="120" w:after="120"/>
              <w:jc w:val="center"/>
              <w:rPr>
                <w:b/>
              </w:rPr>
            </w:pPr>
            <w:r>
              <w:rPr>
                <w:b/>
              </w:rPr>
              <w:t>Proponente</w:t>
            </w:r>
          </w:p>
        </w:tc>
        <w:tc>
          <w:tcPr>
            <w:tcW w:w="2535" w:type="dxa"/>
            <w:shd w:val="clear" w:color="auto" w:fill="D9E2F3"/>
            <w:vAlign w:val="center"/>
          </w:tcPr>
          <w:p w14:paraId="4FB5EDAD" w14:textId="77777777" w:rsidR="008238E6" w:rsidRDefault="00D61AB3">
            <w:pPr>
              <w:spacing w:before="120" w:after="120"/>
              <w:jc w:val="center"/>
              <w:rPr>
                <w:b/>
              </w:rPr>
            </w:pPr>
            <w:r>
              <w:rPr>
                <w:b/>
              </w:rPr>
              <w:t>Análise da proposta</w:t>
            </w:r>
          </w:p>
        </w:tc>
        <w:tc>
          <w:tcPr>
            <w:tcW w:w="2730" w:type="dxa"/>
            <w:shd w:val="clear" w:color="auto" w:fill="D9E2F3"/>
            <w:vAlign w:val="center"/>
          </w:tcPr>
          <w:p w14:paraId="4FB5EDAE" w14:textId="77777777" w:rsidR="008238E6" w:rsidRDefault="00D61AB3">
            <w:pPr>
              <w:spacing w:before="120" w:after="120"/>
              <w:jc w:val="center"/>
              <w:rPr>
                <w:b/>
              </w:rPr>
            </w:pPr>
            <w:r>
              <w:rPr>
                <w:b/>
              </w:rPr>
              <w:t>Parecerista</w:t>
            </w:r>
          </w:p>
        </w:tc>
      </w:tr>
      <w:tr w:rsidR="00754A1C" w14:paraId="4FB5EDB1" w14:textId="77777777" w:rsidTr="3EF7B8AA">
        <w:trPr>
          <w:trHeight w:val="454"/>
          <w:jc w:val="center"/>
        </w:trPr>
        <w:tc>
          <w:tcPr>
            <w:tcW w:w="9150" w:type="dxa"/>
            <w:gridSpan w:val="4"/>
            <w:shd w:val="clear" w:color="auto" w:fill="auto"/>
            <w:vAlign w:val="center"/>
          </w:tcPr>
          <w:p w14:paraId="4FB5EDB0" w14:textId="77777777" w:rsidR="008238E6" w:rsidRDefault="00D61AB3">
            <w:pPr>
              <w:spacing w:before="120" w:after="120"/>
              <w:jc w:val="center"/>
              <w:rPr>
                <w:i/>
                <w:highlight w:val="lightGray"/>
              </w:rPr>
            </w:pPr>
            <w:r>
              <w:rPr>
                <w:i/>
              </w:rPr>
              <w:t>Informações Gerais</w:t>
            </w:r>
          </w:p>
        </w:tc>
      </w:tr>
      <w:tr w:rsidR="00D22512" w14:paraId="4FB5EDB6" w14:textId="77777777" w:rsidTr="3EF7B8AA">
        <w:trPr>
          <w:trHeight w:val="454"/>
          <w:jc w:val="center"/>
        </w:trPr>
        <w:tc>
          <w:tcPr>
            <w:tcW w:w="1755" w:type="dxa"/>
            <w:shd w:val="clear" w:color="auto" w:fill="auto"/>
            <w:vAlign w:val="center"/>
          </w:tcPr>
          <w:p w14:paraId="4FB5EDB2" w14:textId="77777777" w:rsidR="008238E6" w:rsidRDefault="00D61AB3">
            <w:pPr>
              <w:spacing w:before="120" w:after="120"/>
              <w:jc w:val="center"/>
              <w:rPr>
                <w:b/>
              </w:rPr>
            </w:pPr>
            <w:r>
              <w:rPr>
                <w:b/>
              </w:rPr>
              <w:t>Software utilizado</w:t>
            </w:r>
          </w:p>
        </w:tc>
        <w:tc>
          <w:tcPr>
            <w:tcW w:w="2130" w:type="dxa"/>
            <w:shd w:val="clear" w:color="auto" w:fill="auto"/>
            <w:vAlign w:val="center"/>
          </w:tcPr>
          <w:p w14:paraId="4FB5EDB3" w14:textId="77777777" w:rsidR="008238E6" w:rsidRDefault="00D61AB3">
            <w:pPr>
              <w:spacing w:before="120" w:after="120"/>
              <w:jc w:val="center"/>
            </w:pPr>
            <w:r>
              <w:t>Microsoft Excel®</w:t>
            </w:r>
          </w:p>
        </w:tc>
        <w:tc>
          <w:tcPr>
            <w:tcW w:w="2535" w:type="dxa"/>
            <w:vAlign w:val="center"/>
          </w:tcPr>
          <w:p w14:paraId="4FB5EDB4" w14:textId="77777777" w:rsidR="008238E6" w:rsidRDefault="00D61AB3">
            <w:pPr>
              <w:spacing w:before="120" w:after="120"/>
              <w:jc w:val="center"/>
            </w:pPr>
            <w:r>
              <w:t>Adequado</w:t>
            </w:r>
          </w:p>
        </w:tc>
        <w:tc>
          <w:tcPr>
            <w:tcW w:w="2730" w:type="dxa"/>
            <w:vAlign w:val="center"/>
          </w:tcPr>
          <w:p w14:paraId="4FB5EDB5" w14:textId="77777777" w:rsidR="008238E6" w:rsidRDefault="00D61AB3">
            <w:pPr>
              <w:spacing w:before="120" w:after="120"/>
              <w:jc w:val="center"/>
            </w:pPr>
            <w:r>
              <w:t>Microsoft Excel®</w:t>
            </w:r>
          </w:p>
        </w:tc>
      </w:tr>
      <w:tr w:rsidR="00D22512" w14:paraId="4FB5EDBB" w14:textId="77777777" w:rsidTr="3EF7B8AA">
        <w:trPr>
          <w:trHeight w:val="454"/>
          <w:jc w:val="center"/>
        </w:trPr>
        <w:tc>
          <w:tcPr>
            <w:tcW w:w="1755" w:type="dxa"/>
            <w:shd w:val="clear" w:color="auto" w:fill="auto"/>
            <w:vAlign w:val="center"/>
          </w:tcPr>
          <w:p w14:paraId="4FB5EDB7" w14:textId="77777777" w:rsidR="008238E6" w:rsidRDefault="00D61AB3">
            <w:pPr>
              <w:spacing w:before="120" w:after="120"/>
              <w:jc w:val="center"/>
              <w:rPr>
                <w:b/>
              </w:rPr>
            </w:pPr>
            <w:r>
              <w:rPr>
                <w:b/>
              </w:rPr>
              <w:t>Modelo</w:t>
            </w:r>
          </w:p>
        </w:tc>
        <w:tc>
          <w:tcPr>
            <w:tcW w:w="2130" w:type="dxa"/>
            <w:shd w:val="clear" w:color="auto" w:fill="auto"/>
            <w:vAlign w:val="center"/>
          </w:tcPr>
          <w:p w14:paraId="4FB5EDB8" w14:textId="77777777" w:rsidR="008238E6" w:rsidRDefault="00D61AB3">
            <w:pPr>
              <w:spacing w:before="120" w:after="120"/>
              <w:jc w:val="center"/>
            </w:pPr>
            <w:r>
              <w:t>Estático</w:t>
            </w:r>
          </w:p>
        </w:tc>
        <w:tc>
          <w:tcPr>
            <w:tcW w:w="2535" w:type="dxa"/>
            <w:vAlign w:val="center"/>
          </w:tcPr>
          <w:p w14:paraId="4FB5EDB9" w14:textId="77777777" w:rsidR="008238E6" w:rsidRDefault="00D61AB3">
            <w:pPr>
              <w:spacing w:before="120" w:after="120"/>
              <w:jc w:val="center"/>
            </w:pPr>
            <w:r>
              <w:t>Adequado</w:t>
            </w:r>
          </w:p>
        </w:tc>
        <w:tc>
          <w:tcPr>
            <w:tcW w:w="2730" w:type="dxa"/>
            <w:vAlign w:val="center"/>
          </w:tcPr>
          <w:p w14:paraId="4FB5EDBA" w14:textId="77777777" w:rsidR="008238E6" w:rsidRDefault="00D61AB3">
            <w:pPr>
              <w:spacing w:before="120" w:after="120"/>
              <w:jc w:val="center"/>
            </w:pPr>
            <w:r>
              <w:t>Estático</w:t>
            </w:r>
          </w:p>
        </w:tc>
      </w:tr>
      <w:tr w:rsidR="00D22512" w14:paraId="4FB5EDC0" w14:textId="77777777" w:rsidTr="3EF7B8AA">
        <w:trPr>
          <w:trHeight w:val="454"/>
          <w:jc w:val="center"/>
        </w:trPr>
        <w:tc>
          <w:tcPr>
            <w:tcW w:w="1755" w:type="dxa"/>
            <w:shd w:val="clear" w:color="auto" w:fill="auto"/>
            <w:vAlign w:val="center"/>
          </w:tcPr>
          <w:p w14:paraId="4FB5EDBC" w14:textId="77777777" w:rsidR="008238E6" w:rsidRDefault="00D61AB3">
            <w:pPr>
              <w:spacing w:before="120" w:after="120"/>
              <w:jc w:val="center"/>
              <w:rPr>
                <w:b/>
              </w:rPr>
            </w:pPr>
            <w:r>
              <w:rPr>
                <w:b/>
              </w:rPr>
              <w:t>Perspectiva</w:t>
            </w:r>
          </w:p>
        </w:tc>
        <w:tc>
          <w:tcPr>
            <w:tcW w:w="2130" w:type="dxa"/>
            <w:shd w:val="clear" w:color="auto" w:fill="auto"/>
            <w:vAlign w:val="center"/>
          </w:tcPr>
          <w:p w14:paraId="4FB5EDBD" w14:textId="77777777" w:rsidR="008238E6" w:rsidRDefault="00D61AB3">
            <w:pPr>
              <w:spacing w:before="120" w:after="120"/>
              <w:jc w:val="center"/>
            </w:pPr>
            <w:r>
              <w:t>Saúde suplementar</w:t>
            </w:r>
          </w:p>
        </w:tc>
        <w:tc>
          <w:tcPr>
            <w:tcW w:w="2535" w:type="dxa"/>
            <w:vAlign w:val="center"/>
          </w:tcPr>
          <w:p w14:paraId="4FB5EDBE" w14:textId="77777777" w:rsidR="008238E6" w:rsidRDefault="00D61AB3">
            <w:pPr>
              <w:spacing w:before="120" w:after="120"/>
              <w:jc w:val="center"/>
            </w:pPr>
            <w:r>
              <w:t>Adequado</w:t>
            </w:r>
          </w:p>
        </w:tc>
        <w:tc>
          <w:tcPr>
            <w:tcW w:w="2730" w:type="dxa"/>
            <w:vAlign w:val="center"/>
          </w:tcPr>
          <w:p w14:paraId="4FB5EDBF" w14:textId="77777777" w:rsidR="008238E6" w:rsidRDefault="00D61AB3">
            <w:pPr>
              <w:spacing w:before="120" w:after="120"/>
              <w:jc w:val="center"/>
            </w:pPr>
            <w:r>
              <w:t>Saúde suplementar</w:t>
            </w:r>
          </w:p>
        </w:tc>
      </w:tr>
      <w:tr w:rsidR="00D22512" w14:paraId="4FB5EDC5" w14:textId="77777777" w:rsidTr="3EF7B8AA">
        <w:trPr>
          <w:trHeight w:val="454"/>
          <w:jc w:val="center"/>
        </w:trPr>
        <w:tc>
          <w:tcPr>
            <w:tcW w:w="1755" w:type="dxa"/>
            <w:shd w:val="clear" w:color="auto" w:fill="auto"/>
            <w:vAlign w:val="center"/>
          </w:tcPr>
          <w:p w14:paraId="4FB5EDC1" w14:textId="77777777" w:rsidR="008238E6" w:rsidRDefault="00D61AB3">
            <w:pPr>
              <w:spacing w:before="120" w:after="120"/>
              <w:jc w:val="center"/>
              <w:rPr>
                <w:b/>
              </w:rPr>
            </w:pPr>
            <w:r>
              <w:rPr>
                <w:b/>
              </w:rPr>
              <w:t>Horizonte temporal</w:t>
            </w:r>
          </w:p>
        </w:tc>
        <w:tc>
          <w:tcPr>
            <w:tcW w:w="2130" w:type="dxa"/>
            <w:shd w:val="clear" w:color="auto" w:fill="auto"/>
            <w:vAlign w:val="center"/>
          </w:tcPr>
          <w:p w14:paraId="4FB5EDC2" w14:textId="77777777" w:rsidR="008238E6" w:rsidRDefault="00D61AB3">
            <w:pPr>
              <w:spacing w:before="120" w:after="120"/>
              <w:jc w:val="center"/>
            </w:pPr>
            <w:r>
              <w:t>5 anos</w:t>
            </w:r>
          </w:p>
        </w:tc>
        <w:tc>
          <w:tcPr>
            <w:tcW w:w="2535" w:type="dxa"/>
            <w:vAlign w:val="center"/>
          </w:tcPr>
          <w:p w14:paraId="4FB5EDC3" w14:textId="77777777" w:rsidR="008238E6" w:rsidRDefault="00D61AB3">
            <w:pPr>
              <w:spacing w:before="120" w:after="120"/>
              <w:jc w:val="center"/>
            </w:pPr>
            <w:r>
              <w:t>Adequado</w:t>
            </w:r>
          </w:p>
        </w:tc>
        <w:tc>
          <w:tcPr>
            <w:tcW w:w="2730" w:type="dxa"/>
            <w:vAlign w:val="center"/>
          </w:tcPr>
          <w:p w14:paraId="4FB5EDC4" w14:textId="77777777" w:rsidR="008238E6" w:rsidRDefault="00D61AB3">
            <w:pPr>
              <w:spacing w:before="120" w:after="120"/>
              <w:jc w:val="center"/>
            </w:pPr>
            <w:r>
              <w:t>5 anos</w:t>
            </w:r>
          </w:p>
        </w:tc>
      </w:tr>
      <w:tr w:rsidR="00754A1C" w14:paraId="4FB5EDC7" w14:textId="77777777" w:rsidTr="3EF7B8AA">
        <w:trPr>
          <w:trHeight w:val="454"/>
          <w:jc w:val="center"/>
        </w:trPr>
        <w:tc>
          <w:tcPr>
            <w:tcW w:w="9150" w:type="dxa"/>
            <w:gridSpan w:val="4"/>
            <w:shd w:val="clear" w:color="auto" w:fill="auto"/>
            <w:vAlign w:val="center"/>
          </w:tcPr>
          <w:p w14:paraId="4FB5EDC6" w14:textId="77777777" w:rsidR="008238E6" w:rsidRDefault="00D61AB3">
            <w:pPr>
              <w:spacing w:before="120" w:after="120"/>
              <w:jc w:val="center"/>
              <w:rPr>
                <w:i/>
                <w:highlight w:val="lightGray"/>
              </w:rPr>
            </w:pPr>
            <w:r>
              <w:rPr>
                <w:i/>
              </w:rPr>
              <w:t>Tecnologia e comparadores</w:t>
            </w:r>
          </w:p>
        </w:tc>
      </w:tr>
      <w:tr w:rsidR="00D22512" w14:paraId="4FB5EDCC" w14:textId="77777777" w:rsidTr="3EF7B8AA">
        <w:trPr>
          <w:trHeight w:val="454"/>
          <w:jc w:val="center"/>
        </w:trPr>
        <w:tc>
          <w:tcPr>
            <w:tcW w:w="1755" w:type="dxa"/>
            <w:shd w:val="clear" w:color="auto" w:fill="auto"/>
            <w:vAlign w:val="center"/>
          </w:tcPr>
          <w:p w14:paraId="4FB5EDC8" w14:textId="77777777" w:rsidR="008238E6" w:rsidRDefault="00D61AB3">
            <w:pPr>
              <w:spacing w:before="120" w:after="120"/>
              <w:jc w:val="center"/>
              <w:rPr>
                <w:b/>
              </w:rPr>
            </w:pPr>
            <w:r>
              <w:rPr>
                <w:b/>
              </w:rPr>
              <w:t>Tecnologia</w:t>
            </w:r>
          </w:p>
        </w:tc>
        <w:tc>
          <w:tcPr>
            <w:tcW w:w="2130" w:type="dxa"/>
            <w:shd w:val="clear" w:color="auto" w:fill="auto"/>
            <w:vAlign w:val="center"/>
          </w:tcPr>
          <w:p w14:paraId="4FB5EDC9" w14:textId="77777777" w:rsidR="008238E6" w:rsidRDefault="00D61AB3">
            <w:pPr>
              <w:spacing w:before="120" w:after="120"/>
              <w:jc w:val="center"/>
            </w:pPr>
            <w:r>
              <w:t>Teste genético para diagnóstico de diabetes tipo MODY</w:t>
            </w:r>
          </w:p>
        </w:tc>
        <w:tc>
          <w:tcPr>
            <w:tcW w:w="2535" w:type="dxa"/>
            <w:vAlign w:val="center"/>
          </w:tcPr>
          <w:p w14:paraId="4FB5EDCA" w14:textId="77777777" w:rsidR="008238E6" w:rsidRDefault="00D61AB3">
            <w:pPr>
              <w:spacing w:before="120" w:after="120"/>
              <w:jc w:val="center"/>
              <w:rPr>
                <w:i/>
                <w:color w:val="FF0000"/>
              </w:rPr>
            </w:pPr>
            <w:r>
              <w:t>Adequado</w:t>
            </w:r>
          </w:p>
        </w:tc>
        <w:tc>
          <w:tcPr>
            <w:tcW w:w="2730" w:type="dxa"/>
            <w:vAlign w:val="center"/>
          </w:tcPr>
          <w:p w14:paraId="4FB5EDCB" w14:textId="77777777" w:rsidR="008238E6" w:rsidRDefault="00D61AB3">
            <w:pPr>
              <w:spacing w:before="120" w:after="120"/>
              <w:jc w:val="center"/>
            </w:pPr>
            <w:r>
              <w:t>Teste genético para diagnóstico de diabetes tipo MODY</w:t>
            </w:r>
          </w:p>
        </w:tc>
      </w:tr>
      <w:tr w:rsidR="00D22512" w14:paraId="4FB5EDD3" w14:textId="77777777" w:rsidTr="3EF7B8AA">
        <w:trPr>
          <w:trHeight w:val="454"/>
          <w:jc w:val="center"/>
        </w:trPr>
        <w:tc>
          <w:tcPr>
            <w:tcW w:w="1755" w:type="dxa"/>
            <w:shd w:val="clear" w:color="auto" w:fill="auto"/>
            <w:vAlign w:val="center"/>
          </w:tcPr>
          <w:p w14:paraId="4FB5EDCD" w14:textId="77777777" w:rsidR="008238E6" w:rsidRDefault="00D61AB3">
            <w:pPr>
              <w:spacing w:before="120" w:after="120"/>
              <w:jc w:val="center"/>
              <w:rPr>
                <w:b/>
              </w:rPr>
            </w:pPr>
            <w:r>
              <w:rPr>
                <w:b/>
              </w:rPr>
              <w:t>Comparador</w:t>
            </w:r>
          </w:p>
        </w:tc>
        <w:tc>
          <w:tcPr>
            <w:tcW w:w="2130" w:type="dxa"/>
            <w:shd w:val="clear" w:color="auto" w:fill="auto"/>
            <w:vAlign w:val="center"/>
          </w:tcPr>
          <w:p w14:paraId="4FB5EDCE" w14:textId="002BDF22" w:rsidR="008238E6" w:rsidRDefault="00D61AB3">
            <w:pPr>
              <w:spacing w:before="120" w:after="120"/>
              <w:jc w:val="center"/>
            </w:pPr>
            <w:r>
              <w:t>Diagnóstico clínico padrão</w:t>
            </w:r>
            <w:r w:rsidR="003E61D5">
              <w:t xml:space="preserve"> </w:t>
            </w:r>
            <w:r w:rsidR="003E61D5" w:rsidRPr="00566F89">
              <w:t>(</w:t>
            </w:r>
            <w:r w:rsidRPr="00566F89">
              <w:t xml:space="preserve">consulta clínica, aplicação de calculadora MODY e testes diagnósticos disponíveis </w:t>
            </w:r>
            <w:r w:rsidR="003E61D5" w:rsidRPr="00566F89">
              <w:t>no</w:t>
            </w:r>
            <w:r w:rsidRPr="00566F89">
              <w:t xml:space="preserve"> rol</w:t>
            </w:r>
            <w:r w:rsidR="003E61D5" w:rsidRPr="00566F89">
              <w:t>)</w:t>
            </w:r>
          </w:p>
        </w:tc>
        <w:tc>
          <w:tcPr>
            <w:tcW w:w="2535" w:type="dxa"/>
            <w:vAlign w:val="center"/>
          </w:tcPr>
          <w:p w14:paraId="4FB5EDCF" w14:textId="347B0717" w:rsidR="008238E6" w:rsidRDefault="007E39CE">
            <w:pPr>
              <w:spacing w:before="120" w:after="120"/>
              <w:jc w:val="center"/>
              <w:rPr>
                <w:i/>
                <w:color w:val="FF0000"/>
              </w:rPr>
            </w:pPr>
            <w:r>
              <w:t>A</w:t>
            </w:r>
            <w:r w:rsidR="00D61AB3">
              <w:t>dequado</w:t>
            </w:r>
          </w:p>
        </w:tc>
        <w:tc>
          <w:tcPr>
            <w:tcW w:w="2730" w:type="dxa"/>
            <w:vAlign w:val="center"/>
          </w:tcPr>
          <w:p w14:paraId="4FB5EDD0" w14:textId="06B8F216" w:rsidR="008238E6" w:rsidRDefault="00D61AB3">
            <w:pPr>
              <w:spacing w:before="120" w:after="120"/>
              <w:jc w:val="center"/>
            </w:pPr>
            <w:r w:rsidRPr="00566F89">
              <w:t xml:space="preserve">Diagnóstico clínico padrão </w:t>
            </w:r>
            <w:r w:rsidR="00F22AA6" w:rsidRPr="00566F89">
              <w:t>(</w:t>
            </w:r>
            <w:r w:rsidRPr="00566F89">
              <w:t xml:space="preserve">consulta clínica, aplicação de calculadora MODY e testes diagnósticos disponíveis </w:t>
            </w:r>
            <w:r w:rsidR="003E61D5" w:rsidRPr="00566F89">
              <w:t>no</w:t>
            </w:r>
            <w:r w:rsidRPr="00566F89">
              <w:t xml:space="preserve"> rol</w:t>
            </w:r>
            <w:r w:rsidR="00F22AA6" w:rsidRPr="00566F89">
              <w:t>)</w:t>
            </w:r>
          </w:p>
          <w:p w14:paraId="4FB5EDD2" w14:textId="4ACD1BF9" w:rsidR="008238E6" w:rsidRDefault="00D61AB3">
            <w:pPr>
              <w:spacing w:before="120" w:after="120"/>
              <w:jc w:val="center"/>
            </w:pPr>
            <w:r>
              <w:t xml:space="preserve"> </w:t>
            </w:r>
          </w:p>
        </w:tc>
      </w:tr>
      <w:tr w:rsidR="00D22512" w14:paraId="4FB5EDDB" w14:textId="77777777" w:rsidTr="3EF7B8AA">
        <w:trPr>
          <w:trHeight w:val="454"/>
          <w:jc w:val="center"/>
        </w:trPr>
        <w:tc>
          <w:tcPr>
            <w:tcW w:w="1755" w:type="dxa"/>
            <w:shd w:val="clear" w:color="auto" w:fill="auto"/>
            <w:vAlign w:val="center"/>
          </w:tcPr>
          <w:p w14:paraId="4FB5EDD4" w14:textId="77777777" w:rsidR="008238E6" w:rsidRDefault="00D61AB3">
            <w:pPr>
              <w:spacing w:before="120" w:after="120"/>
              <w:jc w:val="center"/>
              <w:rPr>
                <w:b/>
              </w:rPr>
            </w:pPr>
            <w:r>
              <w:rPr>
                <w:b/>
              </w:rPr>
              <w:t>Cenários</w:t>
            </w:r>
          </w:p>
        </w:tc>
        <w:tc>
          <w:tcPr>
            <w:tcW w:w="2130" w:type="dxa"/>
            <w:shd w:val="clear" w:color="auto" w:fill="auto"/>
            <w:vAlign w:val="center"/>
          </w:tcPr>
          <w:p w14:paraId="4FB5EDD5" w14:textId="50B26EB4" w:rsidR="008238E6" w:rsidRDefault="00D61AB3">
            <w:pPr>
              <w:spacing w:before="120" w:after="120"/>
            </w:pPr>
            <w:r>
              <w:t xml:space="preserve">Cenário referência: Diagnóstico </w:t>
            </w:r>
            <w:r w:rsidR="00B335EA">
              <w:t>clín</w:t>
            </w:r>
            <w:r w:rsidR="00326664">
              <w:t>i</w:t>
            </w:r>
            <w:r w:rsidR="00B335EA">
              <w:t>co</w:t>
            </w:r>
            <w:r>
              <w:t xml:space="preserve"> padrão - sem teste genético para diabetes MODY</w:t>
            </w:r>
          </w:p>
          <w:p w14:paraId="4FB5EDD6" w14:textId="34CBF664" w:rsidR="008238E6" w:rsidRDefault="00D61AB3">
            <w:pPr>
              <w:spacing w:before="120" w:after="120"/>
              <w:rPr>
                <w:highlight w:val="lightGray"/>
              </w:rPr>
            </w:pPr>
            <w:r>
              <w:t>Cen</w:t>
            </w:r>
            <w:r w:rsidRPr="00566F89">
              <w:t xml:space="preserve">ário Proposto: </w:t>
            </w:r>
            <w:r w:rsidR="00BF4305" w:rsidRPr="00566F89">
              <w:t xml:space="preserve">Diagnóstico clínico padrão + </w:t>
            </w:r>
            <w:r w:rsidRPr="00566F89">
              <w:t>Painel teste gen</w:t>
            </w:r>
            <w:r>
              <w:t>ético NGS para diabetes MODY sendo incorporado gradualmente</w:t>
            </w:r>
          </w:p>
        </w:tc>
        <w:tc>
          <w:tcPr>
            <w:tcW w:w="2535" w:type="dxa"/>
            <w:vAlign w:val="center"/>
          </w:tcPr>
          <w:p w14:paraId="4FB5EDD7" w14:textId="0AC40BCE" w:rsidR="008238E6" w:rsidRDefault="00CF5B20">
            <w:pPr>
              <w:tabs>
                <w:tab w:val="left" w:pos="284"/>
              </w:tabs>
              <w:spacing w:before="120" w:after="120"/>
              <w:jc w:val="center"/>
              <w:rPr>
                <w:i/>
                <w:color w:val="FF0000"/>
              </w:rPr>
            </w:pPr>
            <w:r>
              <w:t>A</w:t>
            </w:r>
            <w:r w:rsidR="00D61AB3">
              <w:t>dequado</w:t>
            </w:r>
          </w:p>
        </w:tc>
        <w:tc>
          <w:tcPr>
            <w:tcW w:w="2730" w:type="dxa"/>
            <w:vAlign w:val="center"/>
          </w:tcPr>
          <w:p w14:paraId="4FB5EDD8" w14:textId="76759DA1" w:rsidR="008238E6" w:rsidRDefault="00D61AB3">
            <w:pPr>
              <w:spacing w:before="120" w:after="120"/>
            </w:pPr>
            <w:r>
              <w:t xml:space="preserve">Cenário referência: Diagnóstico clínico padrão - sem teste genético para diabetes MODY  </w:t>
            </w:r>
          </w:p>
          <w:p w14:paraId="4FB5EDDA" w14:textId="6AE98C6E" w:rsidR="008238E6" w:rsidRDefault="00D61AB3">
            <w:pPr>
              <w:spacing w:before="120" w:after="120"/>
              <w:rPr>
                <w:highlight w:val="yellow"/>
              </w:rPr>
            </w:pPr>
            <w:r>
              <w:t>Cenário alternativo proposto:</w:t>
            </w:r>
            <w:r w:rsidR="00370D2C">
              <w:t xml:space="preserve"> Diagnóstico clínico padrão +</w:t>
            </w:r>
            <w:r>
              <w:t xml:space="preserve"> Painel teste genético NGS para diabetes MODY, incorporação gradual.</w:t>
            </w:r>
          </w:p>
        </w:tc>
      </w:tr>
      <w:tr w:rsidR="00D22512" w14:paraId="4FB5EDE4" w14:textId="77777777" w:rsidTr="3EF7B8AA">
        <w:trPr>
          <w:trHeight w:val="454"/>
          <w:jc w:val="center"/>
        </w:trPr>
        <w:tc>
          <w:tcPr>
            <w:tcW w:w="1755" w:type="dxa"/>
            <w:shd w:val="clear" w:color="auto" w:fill="auto"/>
            <w:vAlign w:val="center"/>
          </w:tcPr>
          <w:p w14:paraId="4FB5EDDC" w14:textId="77777777" w:rsidR="008238E6" w:rsidRDefault="00D61AB3">
            <w:pPr>
              <w:spacing w:before="120" w:after="120"/>
              <w:jc w:val="center"/>
              <w:rPr>
                <w:b/>
              </w:rPr>
            </w:pPr>
            <w:r>
              <w:rPr>
                <w:b/>
              </w:rPr>
              <w:t>Participação no mercado</w:t>
            </w:r>
          </w:p>
        </w:tc>
        <w:tc>
          <w:tcPr>
            <w:tcW w:w="2130" w:type="dxa"/>
            <w:shd w:val="clear" w:color="auto" w:fill="auto"/>
            <w:vAlign w:val="center"/>
          </w:tcPr>
          <w:p w14:paraId="4FB5EDDD" w14:textId="77777777" w:rsidR="008238E6" w:rsidRDefault="00D61AB3">
            <w:pPr>
              <w:spacing w:before="120" w:after="120"/>
            </w:pPr>
            <w:r>
              <w:t>Cenário referência: 100% Diagnóstico clínico padrão - sem teste genético para diabetes MODY</w:t>
            </w:r>
          </w:p>
          <w:p w14:paraId="4FB5EDDE" w14:textId="77777777" w:rsidR="008238E6" w:rsidRDefault="00D61AB3">
            <w:pPr>
              <w:spacing w:before="120" w:after="120"/>
            </w:pPr>
            <w:r>
              <w:t>Cenário Proposto: Teste genético para diabetes MODY chegando a 40% do mercado em 5 anos</w:t>
            </w:r>
          </w:p>
        </w:tc>
        <w:tc>
          <w:tcPr>
            <w:tcW w:w="2535" w:type="dxa"/>
            <w:vAlign w:val="center"/>
          </w:tcPr>
          <w:p w14:paraId="4FB5EDDF" w14:textId="77777777" w:rsidR="008238E6" w:rsidRDefault="00D61AB3">
            <w:pPr>
              <w:spacing w:before="120" w:after="120"/>
            </w:pPr>
            <w:r>
              <w:t>As proporções de participação de mercado foram estimadas arbitrariamente.</w:t>
            </w:r>
          </w:p>
          <w:p w14:paraId="4FB5EDE0" w14:textId="77777777" w:rsidR="008238E6" w:rsidRDefault="008238E6">
            <w:pPr>
              <w:spacing w:before="120" w:after="120"/>
            </w:pPr>
          </w:p>
        </w:tc>
        <w:tc>
          <w:tcPr>
            <w:tcW w:w="2730" w:type="dxa"/>
            <w:vAlign w:val="center"/>
          </w:tcPr>
          <w:p w14:paraId="4FB5EDE1" w14:textId="340AEC0C" w:rsidR="008238E6" w:rsidRDefault="00D61AB3">
            <w:pPr>
              <w:spacing w:before="120" w:after="120"/>
            </w:pPr>
            <w:r>
              <w:t>Cenário referência: Diagnóstico clínico padrão - sem teste genético para diabetes MODY =&gt; assumido estar disponível para 100% do mercado</w:t>
            </w:r>
          </w:p>
          <w:p w14:paraId="4FB5EDE3" w14:textId="3210F31E" w:rsidR="008238E6" w:rsidRDefault="00D61AB3">
            <w:pPr>
              <w:spacing w:before="120" w:after="120"/>
              <w:rPr>
                <w:highlight w:val="yellow"/>
              </w:rPr>
            </w:pPr>
            <w:r>
              <w:t xml:space="preserve">Cenário alternativo proposto: </w:t>
            </w:r>
            <w:r w:rsidR="00D03BC7">
              <w:t xml:space="preserve">Diagnóstico clínico padrão + </w:t>
            </w:r>
            <w:r>
              <w:t>Painel teste genético NGS para diabetes MODY, incorporação gradual, iniciando em 30% no ano 1 até 70% no ano 5.</w:t>
            </w:r>
          </w:p>
        </w:tc>
      </w:tr>
      <w:tr w:rsidR="00754A1C" w14:paraId="4FB5EDE6" w14:textId="77777777" w:rsidTr="3EF7B8AA">
        <w:trPr>
          <w:trHeight w:val="454"/>
          <w:jc w:val="center"/>
        </w:trPr>
        <w:tc>
          <w:tcPr>
            <w:tcW w:w="9150" w:type="dxa"/>
            <w:gridSpan w:val="4"/>
            <w:shd w:val="clear" w:color="auto" w:fill="auto"/>
            <w:vAlign w:val="center"/>
          </w:tcPr>
          <w:p w14:paraId="4FB5EDE5" w14:textId="77777777" w:rsidR="008238E6" w:rsidRDefault="00D61AB3">
            <w:pPr>
              <w:spacing w:before="120" w:after="120"/>
              <w:jc w:val="center"/>
              <w:rPr>
                <w:i/>
              </w:rPr>
            </w:pPr>
            <w:r>
              <w:rPr>
                <w:i/>
              </w:rPr>
              <w:t>População</w:t>
            </w:r>
          </w:p>
        </w:tc>
      </w:tr>
      <w:tr w:rsidR="00D22512" w14:paraId="4FB5EDEC" w14:textId="77777777" w:rsidTr="3EF7B8AA">
        <w:trPr>
          <w:trHeight w:val="454"/>
          <w:jc w:val="center"/>
        </w:trPr>
        <w:tc>
          <w:tcPr>
            <w:tcW w:w="1755" w:type="dxa"/>
            <w:shd w:val="clear" w:color="auto" w:fill="auto"/>
            <w:vAlign w:val="center"/>
          </w:tcPr>
          <w:p w14:paraId="4FB5EDE7" w14:textId="77777777" w:rsidR="008238E6" w:rsidRDefault="00D61AB3">
            <w:pPr>
              <w:spacing w:before="120" w:after="120"/>
              <w:jc w:val="center"/>
              <w:rPr>
                <w:b/>
              </w:rPr>
            </w:pPr>
            <w:r>
              <w:rPr>
                <w:b/>
              </w:rPr>
              <w:t>População</w:t>
            </w:r>
          </w:p>
        </w:tc>
        <w:tc>
          <w:tcPr>
            <w:tcW w:w="2130" w:type="dxa"/>
            <w:shd w:val="clear" w:color="auto" w:fill="auto"/>
            <w:vAlign w:val="center"/>
          </w:tcPr>
          <w:p w14:paraId="4FB5EDE8" w14:textId="77777777" w:rsidR="008238E6" w:rsidRDefault="00D61AB3">
            <w:pPr>
              <w:spacing w:before="120" w:after="120"/>
              <w:rPr>
                <w:highlight w:val="lightGray"/>
              </w:rPr>
            </w:pPr>
            <w:r>
              <w:t>Pacientes com alta probabilidade de diagnóstico de diabetes tipo Maturity-onset diabetes of the young (MODY), representado pelo cut-off de 40% na calculadora MODY, com idade ≤ 30 anos.</w:t>
            </w:r>
          </w:p>
        </w:tc>
        <w:tc>
          <w:tcPr>
            <w:tcW w:w="2535" w:type="dxa"/>
            <w:vAlign w:val="center"/>
          </w:tcPr>
          <w:p w14:paraId="4FB5EDE9" w14:textId="77777777" w:rsidR="008238E6" w:rsidRDefault="00D61AB3">
            <w:pPr>
              <w:tabs>
                <w:tab w:val="left" w:pos="284"/>
              </w:tabs>
              <w:spacing w:before="120" w:after="120"/>
            </w:pPr>
            <w:r>
              <w:t>O cut-off de 60% na calculadora MODY é mais adequado, pois resulta em maior sensibilidade e especificidade do teste</w:t>
            </w:r>
            <w:r>
              <w:rPr>
                <w:vertAlign w:val="superscript"/>
              </w:rPr>
              <w:t>5,6</w:t>
            </w:r>
            <w:r>
              <w:t xml:space="preserve">. </w:t>
            </w:r>
          </w:p>
          <w:p w14:paraId="4FB5EDEA" w14:textId="6148B0ED" w:rsidR="008238E6" w:rsidRDefault="00D61AB3" w:rsidP="3EF7B8AA">
            <w:pPr>
              <w:tabs>
                <w:tab w:val="left" w:pos="284"/>
              </w:tabs>
              <w:spacing w:before="120" w:after="120"/>
              <w:rPr>
                <w:i/>
                <w:iCs/>
                <w:color w:val="FF0000"/>
              </w:rPr>
            </w:pPr>
            <w:r>
              <w:t>Importante não limitar a idade do paciente para realização do teste genético, pois, apesar da maioria das pessoas obterem o diagnóstico ainda jovens, por se tratar de uma doença genética, familiares de pacientes jovens que não foram corretamente diagnosticados podem ser testados, independente</w:t>
            </w:r>
            <w:r w:rsidR="6AA0E2EA">
              <w:t>mente</w:t>
            </w:r>
            <w:r>
              <w:t xml:space="preserve"> da idade. </w:t>
            </w:r>
          </w:p>
        </w:tc>
        <w:tc>
          <w:tcPr>
            <w:tcW w:w="2730" w:type="dxa"/>
            <w:vAlign w:val="center"/>
          </w:tcPr>
          <w:p w14:paraId="4FB5EDEB" w14:textId="77777777" w:rsidR="008238E6" w:rsidRDefault="00D61AB3">
            <w:pPr>
              <w:spacing w:before="120" w:after="120"/>
            </w:pPr>
            <w:r>
              <w:t>Pacientes com alta probabilidade de diagnóstico de diabetes tipo Maturity-onset diabetes of the young (MODY), representado pelo cut-off de 60% na calculadora MODY, sem restrição de idade</w:t>
            </w:r>
          </w:p>
        </w:tc>
      </w:tr>
      <w:tr w:rsidR="00D22512" w14:paraId="4FB5EE03" w14:textId="77777777" w:rsidTr="3EF7B8AA">
        <w:trPr>
          <w:trHeight w:val="454"/>
          <w:jc w:val="center"/>
        </w:trPr>
        <w:tc>
          <w:tcPr>
            <w:tcW w:w="1755" w:type="dxa"/>
            <w:shd w:val="clear" w:color="auto" w:fill="auto"/>
            <w:vAlign w:val="center"/>
          </w:tcPr>
          <w:p w14:paraId="4FB5EDED" w14:textId="77777777" w:rsidR="008238E6" w:rsidRDefault="00D61AB3">
            <w:pPr>
              <w:spacing w:before="120" w:after="120"/>
              <w:jc w:val="center"/>
              <w:rPr>
                <w:b/>
              </w:rPr>
            </w:pPr>
            <w:r>
              <w:rPr>
                <w:b/>
              </w:rPr>
              <w:t>Cálculo da população elegível</w:t>
            </w:r>
          </w:p>
        </w:tc>
        <w:tc>
          <w:tcPr>
            <w:tcW w:w="2130" w:type="dxa"/>
            <w:shd w:val="clear" w:color="auto" w:fill="auto"/>
            <w:vAlign w:val="center"/>
          </w:tcPr>
          <w:p w14:paraId="4FB5EDEE" w14:textId="77777777" w:rsidR="008238E6" w:rsidRDefault="00D61AB3">
            <w:pPr>
              <w:spacing w:before="120" w:after="120"/>
            </w:pPr>
            <w:r>
              <w:t>A população elegível foi estimada a partir do método epidemiológico:</w:t>
            </w:r>
          </w:p>
          <w:p w14:paraId="4FB5EDEF" w14:textId="1074984A" w:rsidR="008238E6" w:rsidRDefault="00D61AB3" w:rsidP="3EF7B8AA">
            <w:pPr>
              <w:spacing w:before="120" w:after="120"/>
            </w:pPr>
            <w:r>
              <w:t xml:space="preserve">A população pleiteada </w:t>
            </w:r>
            <w:r w:rsidR="029CBBED">
              <w:t>é de</w:t>
            </w:r>
            <w:r>
              <w:t xml:space="preserve">  pacientes com probabilidade de diagnóstico de diabetes tipo MODY com idade ≤ 30 anos, porém os dados disponibilizados pela Agência Nacional de Saúde Suplementar dos beneficiários de planos de saúde são agrupados a partir de 30 a 34 anos de idade - tendo isso, foi considerada a faixa etária da população até 29 anos de idade.</w:t>
            </w:r>
          </w:p>
          <w:p w14:paraId="4FB5EDF0" w14:textId="77777777" w:rsidR="008238E6" w:rsidRDefault="00D61AB3">
            <w:pPr>
              <w:spacing w:before="120" w:after="120"/>
            </w:pPr>
            <w:r>
              <w:t>Prevalência da DM - 10,5%</w:t>
            </w:r>
          </w:p>
          <w:p w14:paraId="4FB5EDF1" w14:textId="77777777" w:rsidR="008238E6" w:rsidRDefault="00D61AB3">
            <w:pPr>
              <w:spacing w:before="120" w:after="120"/>
            </w:pPr>
            <w:r>
              <w:t>Até 1 ano - 0,12%</w:t>
            </w:r>
          </w:p>
          <w:p w14:paraId="4FB5EDF2" w14:textId="77777777" w:rsidR="008238E6" w:rsidRDefault="00D61AB3">
            <w:pPr>
              <w:spacing w:before="120" w:after="120"/>
            </w:pPr>
            <w:r>
              <w:t>01 a 4 anos - 0,12%</w:t>
            </w:r>
          </w:p>
          <w:p w14:paraId="4FB5EDF3" w14:textId="77777777" w:rsidR="008238E6" w:rsidRDefault="00D61AB3">
            <w:pPr>
              <w:spacing w:before="120" w:after="120"/>
            </w:pPr>
            <w:r>
              <w:t>05 a 9 anos - 0,12%</w:t>
            </w:r>
          </w:p>
          <w:p w14:paraId="4FB5EDF4" w14:textId="77777777" w:rsidR="008238E6" w:rsidRDefault="00D61AB3">
            <w:pPr>
              <w:spacing w:before="120" w:after="120"/>
            </w:pPr>
            <w:r>
              <w:t>10 a 14 anos - 0,12%</w:t>
            </w:r>
          </w:p>
          <w:p w14:paraId="4FB5EDF5" w14:textId="77777777" w:rsidR="008238E6" w:rsidRDefault="00D61AB3">
            <w:pPr>
              <w:spacing w:before="120" w:after="120"/>
            </w:pPr>
            <w:r>
              <w:t>15 a 19 anos - 0,70%</w:t>
            </w:r>
          </w:p>
          <w:p w14:paraId="4FB5EDF6" w14:textId="77777777" w:rsidR="008238E6" w:rsidRDefault="00D61AB3">
            <w:pPr>
              <w:spacing w:before="120" w:after="120"/>
            </w:pPr>
            <w:r>
              <w:t>20 a 24 anos - 0,70%</w:t>
            </w:r>
          </w:p>
          <w:p w14:paraId="4FB5EDF7" w14:textId="77777777" w:rsidR="008238E6" w:rsidRDefault="00D61AB3">
            <w:pPr>
              <w:spacing w:before="120" w:after="120"/>
            </w:pPr>
            <w:r>
              <w:t>25 a 29 anos - 0,90%</w:t>
            </w:r>
          </w:p>
          <w:p w14:paraId="4FB5EDF8" w14:textId="77777777" w:rsidR="008238E6" w:rsidRDefault="00D61AB3">
            <w:pPr>
              <w:spacing w:before="120" w:after="120"/>
            </w:pPr>
            <w:r>
              <w:t>Prevalência de MODY em pacientes com DM - 2,00%</w:t>
            </w:r>
          </w:p>
          <w:p w14:paraId="4FB5EDF9" w14:textId="77777777" w:rsidR="008238E6" w:rsidRDefault="00D61AB3">
            <w:pPr>
              <w:spacing w:before="120" w:after="120"/>
            </w:pPr>
            <w:r>
              <w:t>Pacientes com suspeita de MODY por diagnóstico confirmado -  1,04</w:t>
            </w:r>
          </w:p>
          <w:p w14:paraId="4FB5EDFA" w14:textId="77777777" w:rsidR="008238E6" w:rsidRDefault="00D61AB3">
            <w:pPr>
              <w:spacing w:before="120" w:after="120"/>
            </w:pPr>
            <w:r>
              <w:t>A população elegível ao diagnóstico por teste genético corresponde ao número de pacientes do ano t1 menos o número de pacientes que receberam o teste genético no ano t0 somado ao número de novos casos de diabetes no ano t1.</w:t>
            </w:r>
          </w:p>
        </w:tc>
        <w:tc>
          <w:tcPr>
            <w:tcW w:w="2535" w:type="dxa"/>
            <w:vAlign w:val="center"/>
          </w:tcPr>
          <w:p w14:paraId="4FB5EDFB" w14:textId="6B284108" w:rsidR="008238E6" w:rsidRDefault="00D61AB3" w:rsidP="3EF7B8AA">
            <w:pPr>
              <w:tabs>
                <w:tab w:val="left" w:pos="284"/>
              </w:tabs>
              <w:spacing w:before="120" w:after="120"/>
              <w:rPr>
                <w:color w:val="FF0000"/>
              </w:rPr>
            </w:pPr>
            <w:r>
              <w:t xml:space="preserve">Conforme “20241000198_Planilha Análise de Impacto Orçamentário – AIO.xls” para o cálculo da população elegível o PROPONENTE utilizou a prevalência de DM em cada faixa etária multiplicada pela taxa “prevalência de pacientes com suspeita de MODY por diagnóstico confirmado” (1,04), que corresponde ao cálculo de acurácia da calculadora de risco de MODY - importante ressaltar que </w:t>
            </w:r>
            <w:r w:rsidR="0B945955">
              <w:t xml:space="preserve">se trata </w:t>
            </w:r>
            <w:r>
              <w:t xml:space="preserve">de conclusão do PARECERISTA, visto a falta de informações e clareza na planilha do Excel do proponente. Os demais dados de prevalência citados no documento não foram utilizados. </w:t>
            </w:r>
          </w:p>
          <w:p w14:paraId="4FB5EDFC" w14:textId="7C92DD4F" w:rsidR="008238E6" w:rsidRDefault="00D61AB3" w:rsidP="3EF7B8AA">
            <w:pPr>
              <w:pBdr>
                <w:top w:val="nil"/>
                <w:left w:val="nil"/>
                <w:bottom w:val="nil"/>
                <w:right w:val="nil"/>
                <w:between w:val="nil"/>
              </w:pBdr>
              <w:tabs>
                <w:tab w:val="left" w:pos="284"/>
              </w:tabs>
              <w:spacing w:before="120" w:after="120"/>
            </w:pPr>
            <w:r>
              <w:t>As referências estão citadas no documento “20241000198_Estudo de Análise de Impacto Orçamentário – AIO.pdf”. A página de acesso à referência dos dados de prevalência de DM para população de 1-14 anos não está mais disponível.</w:t>
            </w:r>
            <w:r w:rsidRPr="3EF7B8AA">
              <w:rPr>
                <w:highlight w:val="yellow"/>
              </w:rPr>
              <w:t xml:space="preserve"> </w:t>
            </w:r>
            <w:r>
              <w:t>As referências para prevalência de DM em adolescentes referem-se a DM tipo 2, utilizando valores que não correspondem às estimativas de prevalência fornecidas nos artigos citados. O valor utilizado na AIO baseia-se em um odds ratio ajustado para risco de diabetes, em vez de uma estimativa de prevalência apropriada. O</w:t>
            </w:r>
            <w:r w:rsidR="46BB3FF5">
              <w:t>s</w:t>
            </w:r>
            <w:r>
              <w:t xml:space="preserve"> dados de prevalência de DM para população de 20-24 anos não consta na publicação citada, mas consta na referência citada em seguida.</w:t>
            </w:r>
          </w:p>
        </w:tc>
        <w:tc>
          <w:tcPr>
            <w:tcW w:w="2730" w:type="dxa"/>
            <w:vAlign w:val="center"/>
          </w:tcPr>
          <w:p w14:paraId="4FB5EDFD" w14:textId="77777777" w:rsidR="008238E6" w:rsidRDefault="00D61AB3">
            <w:pPr>
              <w:spacing w:before="120" w:after="120"/>
            </w:pPr>
            <w:r>
              <w:t xml:space="preserve">População de beneficiários da saúde suplementar </w:t>
            </w:r>
          </w:p>
          <w:p w14:paraId="4FB5EDFE" w14:textId="77777777" w:rsidR="008238E6" w:rsidRDefault="00D61AB3">
            <w:pPr>
              <w:spacing w:before="120" w:after="120"/>
            </w:pPr>
            <w:r>
              <w:t>Prevalência da DM na população geral = 10,5%</w:t>
            </w:r>
          </w:p>
          <w:p w14:paraId="4FB5EDFF" w14:textId="77777777" w:rsidR="008238E6" w:rsidRDefault="00D61AB3">
            <w:pPr>
              <w:spacing w:before="120" w:after="120"/>
            </w:pPr>
            <w:r>
              <w:t>Prevalência de MODY em pacientes com DM (2,00%)</w:t>
            </w:r>
          </w:p>
          <w:p w14:paraId="4FB5EE00" w14:textId="10064FDD" w:rsidR="008238E6" w:rsidRDefault="00D61AB3">
            <w:pPr>
              <w:spacing w:before="120" w:after="120"/>
            </w:pPr>
            <w:r>
              <w:t xml:space="preserve"> Extrapolação do número de pacientes que serão testados, a partir das propriedades do teste de predição (valor assumido de 50% a mais que a prevalência de MODY, considerando a acurácia do teste no cut-off 60% da calculadora MODY (95%) e a possibilidade de testagem de familiares após diagnóstico inicial de membro da família</w:t>
            </w:r>
            <w:r w:rsidR="00B335EA">
              <w:t>)</w:t>
            </w:r>
            <w:r w:rsidR="00422ACB">
              <w:t>.</w:t>
            </w:r>
          </w:p>
          <w:p w14:paraId="4FB5EE01" w14:textId="77777777" w:rsidR="008238E6" w:rsidRDefault="00D61AB3">
            <w:pPr>
              <w:spacing w:before="120" w:after="120"/>
            </w:pPr>
            <w:r>
              <w:t>A população elegível ao diagnóstico por teste genético corresponde ao número de pacientes do ano t1 menos o número de pacientes que receberam o teste genético no ano t0 somado ao número de novos casos de diabetes no ano t1.</w:t>
            </w:r>
          </w:p>
          <w:p w14:paraId="4FB5EE02" w14:textId="77777777" w:rsidR="008238E6" w:rsidRDefault="008238E6">
            <w:pPr>
              <w:spacing w:before="120" w:after="120"/>
            </w:pPr>
          </w:p>
        </w:tc>
      </w:tr>
      <w:tr w:rsidR="00D22512" w14:paraId="4FB5EE08" w14:textId="77777777" w:rsidTr="3EF7B8AA">
        <w:trPr>
          <w:trHeight w:val="454"/>
          <w:jc w:val="center"/>
        </w:trPr>
        <w:tc>
          <w:tcPr>
            <w:tcW w:w="1755" w:type="dxa"/>
            <w:shd w:val="clear" w:color="auto" w:fill="auto"/>
            <w:vAlign w:val="center"/>
          </w:tcPr>
          <w:p w14:paraId="4FB5EE04" w14:textId="77777777" w:rsidR="008238E6" w:rsidRDefault="00D61AB3">
            <w:pPr>
              <w:spacing w:before="120" w:after="120"/>
              <w:jc w:val="center"/>
              <w:rPr>
                <w:b/>
              </w:rPr>
            </w:pPr>
            <w:r>
              <w:rPr>
                <w:b/>
              </w:rPr>
              <w:t>Subgrupos</w:t>
            </w:r>
          </w:p>
        </w:tc>
        <w:tc>
          <w:tcPr>
            <w:tcW w:w="2130" w:type="dxa"/>
            <w:shd w:val="clear" w:color="auto" w:fill="auto"/>
            <w:vAlign w:val="center"/>
          </w:tcPr>
          <w:p w14:paraId="4FB5EE05" w14:textId="77777777" w:rsidR="008238E6" w:rsidRDefault="00D61AB3">
            <w:pPr>
              <w:spacing w:before="0"/>
              <w:jc w:val="center"/>
            </w:pPr>
            <w:r>
              <w:t>Não se aplica</w:t>
            </w:r>
          </w:p>
        </w:tc>
        <w:tc>
          <w:tcPr>
            <w:tcW w:w="2535" w:type="dxa"/>
            <w:vAlign w:val="center"/>
          </w:tcPr>
          <w:p w14:paraId="4FB5EE06" w14:textId="77777777" w:rsidR="008238E6" w:rsidRDefault="00D61AB3">
            <w:pPr>
              <w:spacing w:before="0"/>
              <w:jc w:val="center"/>
              <w:rPr>
                <w:i/>
                <w:color w:val="FF0000"/>
              </w:rPr>
            </w:pPr>
            <w:r>
              <w:t>Não se aplica</w:t>
            </w:r>
          </w:p>
        </w:tc>
        <w:tc>
          <w:tcPr>
            <w:tcW w:w="2730" w:type="dxa"/>
            <w:vAlign w:val="center"/>
          </w:tcPr>
          <w:p w14:paraId="4FB5EE07" w14:textId="77777777" w:rsidR="008238E6" w:rsidRDefault="00D61AB3">
            <w:pPr>
              <w:spacing w:before="0"/>
              <w:jc w:val="center"/>
            </w:pPr>
            <w:r>
              <w:t>Não se aplica</w:t>
            </w:r>
          </w:p>
        </w:tc>
      </w:tr>
      <w:tr w:rsidR="00754A1C" w14:paraId="4FB5EE0A" w14:textId="77777777" w:rsidTr="3EF7B8AA">
        <w:trPr>
          <w:trHeight w:val="454"/>
          <w:jc w:val="center"/>
        </w:trPr>
        <w:tc>
          <w:tcPr>
            <w:tcW w:w="9150" w:type="dxa"/>
            <w:gridSpan w:val="4"/>
            <w:shd w:val="clear" w:color="auto" w:fill="auto"/>
            <w:vAlign w:val="center"/>
          </w:tcPr>
          <w:p w14:paraId="4FB5EE09" w14:textId="77777777" w:rsidR="008238E6" w:rsidRDefault="00D61AB3">
            <w:pPr>
              <w:spacing w:before="120" w:after="120"/>
              <w:jc w:val="center"/>
              <w:rPr>
                <w:i/>
              </w:rPr>
            </w:pPr>
            <w:r>
              <w:rPr>
                <w:i/>
              </w:rPr>
              <w:t>Custos</w:t>
            </w:r>
          </w:p>
        </w:tc>
      </w:tr>
      <w:tr w:rsidR="00D22512" w14:paraId="4FB5EE0F" w14:textId="77777777" w:rsidTr="3EF7B8AA">
        <w:trPr>
          <w:trHeight w:val="454"/>
          <w:jc w:val="center"/>
        </w:trPr>
        <w:tc>
          <w:tcPr>
            <w:tcW w:w="1755" w:type="dxa"/>
            <w:shd w:val="clear" w:color="auto" w:fill="auto"/>
            <w:vAlign w:val="center"/>
          </w:tcPr>
          <w:p w14:paraId="4FB5EE0B" w14:textId="77777777" w:rsidR="008238E6" w:rsidRDefault="00D61AB3">
            <w:pPr>
              <w:spacing w:before="120" w:after="120"/>
              <w:jc w:val="center"/>
              <w:rPr>
                <w:b/>
              </w:rPr>
            </w:pPr>
            <w:r>
              <w:rPr>
                <w:b/>
                <w:color w:val="000000"/>
              </w:rPr>
              <w:t>Componentes e fontes (tecnologia)</w:t>
            </w:r>
          </w:p>
        </w:tc>
        <w:tc>
          <w:tcPr>
            <w:tcW w:w="2130" w:type="dxa"/>
            <w:shd w:val="clear" w:color="auto" w:fill="auto"/>
            <w:vAlign w:val="center"/>
          </w:tcPr>
          <w:p w14:paraId="426F72A5" w14:textId="77777777" w:rsidR="008238E6" w:rsidRDefault="00D61AB3">
            <w:pPr>
              <w:spacing w:before="120" w:after="120"/>
              <w:jc w:val="center"/>
            </w:pPr>
            <w:r>
              <w:t>CBHPM 2021</w:t>
            </w:r>
          </w:p>
          <w:p w14:paraId="4FB5EE0C" w14:textId="56146D15" w:rsidR="008C2513" w:rsidRDefault="008C2513">
            <w:pPr>
              <w:spacing w:before="120" w:after="120"/>
              <w:jc w:val="center"/>
            </w:pPr>
            <w:r>
              <w:t xml:space="preserve">Cod: </w:t>
            </w:r>
            <w:r w:rsidRPr="008C2513">
              <w:t>40503895 (Captura/Amplificação e subsequente sequenciamento de regiões genômicas DE MAIS DE 30 MEGABASES DE DNA TUMORAL PARA ANÁLISE DE MUTAÇÕES SOMÁTICAS por qualquer técnica de sequenciamento (Sanger ou qualquer forma de sequenciamento de nova geração – NGS); INCLUI EXOMA TUMORAL)</w:t>
            </w:r>
          </w:p>
        </w:tc>
        <w:tc>
          <w:tcPr>
            <w:tcW w:w="2535" w:type="dxa"/>
            <w:vAlign w:val="center"/>
          </w:tcPr>
          <w:p w14:paraId="4FB5EE0D" w14:textId="77777777" w:rsidR="008238E6" w:rsidRDefault="00D61AB3">
            <w:pPr>
              <w:tabs>
                <w:tab w:val="left" w:pos="284"/>
              </w:tabs>
              <w:spacing w:before="120" w:after="120"/>
              <w:jc w:val="center"/>
              <w:rPr>
                <w:i/>
                <w:color w:val="FF0000"/>
              </w:rPr>
            </w:pPr>
            <w:r>
              <w:t>Inadequado</w:t>
            </w:r>
          </w:p>
        </w:tc>
        <w:tc>
          <w:tcPr>
            <w:tcW w:w="2730" w:type="dxa"/>
            <w:vAlign w:val="center"/>
          </w:tcPr>
          <w:p w14:paraId="22D90726" w14:textId="0D11E548" w:rsidR="00A624B1" w:rsidRDefault="6ACC232C">
            <w:pPr>
              <w:spacing w:before="120" w:after="120"/>
              <w:jc w:val="center"/>
            </w:pPr>
            <w:r>
              <w:t xml:space="preserve">O código CBHPM referenciado pelo proponente não se aplica para a tecnologia em avaliação pois é referente a </w:t>
            </w:r>
            <w:r w:rsidR="5CF35634">
              <w:t>DNA</w:t>
            </w:r>
            <w:r>
              <w:t xml:space="preserve"> tumoral.</w:t>
            </w:r>
            <w:r w:rsidR="4AE46F63">
              <w:t xml:space="preserve"> </w:t>
            </w:r>
          </w:p>
          <w:p w14:paraId="4FB5EE0E" w14:textId="3E4A4A6E" w:rsidR="008238E6" w:rsidRDefault="00A624B1">
            <w:pPr>
              <w:spacing w:before="120" w:after="120"/>
              <w:jc w:val="center"/>
              <w:rPr>
                <w:i/>
                <w:color w:val="FF0000"/>
              </w:rPr>
            </w:pPr>
            <w:r w:rsidRPr="00A624B1">
              <w:t xml:space="preserve">Na falta de um código específico na CBHPM, </w:t>
            </w:r>
            <w:r w:rsidR="008656B0">
              <w:t xml:space="preserve">o PARECERISTA </w:t>
            </w:r>
            <w:r w:rsidR="006B46F7">
              <w:t>uti</w:t>
            </w:r>
            <w:r w:rsidRPr="00A624B1">
              <w:t>liz</w:t>
            </w:r>
            <w:r w:rsidR="006B46F7">
              <w:t>ou</w:t>
            </w:r>
            <w:r w:rsidRPr="00A624B1">
              <w:t xml:space="preserve"> para estimativa o preço médio apurado em 3 laboratórios para realização do painel genético para diagnóstico de diabetes tipo MODY</w:t>
            </w:r>
            <w:r w:rsidR="00843D40">
              <w:t>.</w:t>
            </w:r>
          </w:p>
        </w:tc>
      </w:tr>
      <w:tr w:rsidR="00D22512" w14:paraId="4FB5EE17" w14:textId="77777777" w:rsidTr="3EF7B8AA">
        <w:trPr>
          <w:trHeight w:val="454"/>
          <w:jc w:val="center"/>
        </w:trPr>
        <w:tc>
          <w:tcPr>
            <w:tcW w:w="1755" w:type="dxa"/>
            <w:shd w:val="clear" w:color="auto" w:fill="auto"/>
            <w:vAlign w:val="center"/>
          </w:tcPr>
          <w:p w14:paraId="4FB5EE10" w14:textId="77777777" w:rsidR="008238E6" w:rsidRDefault="00D61AB3">
            <w:pPr>
              <w:spacing w:before="120" w:after="120"/>
              <w:jc w:val="center"/>
              <w:rPr>
                <w:b/>
              </w:rPr>
            </w:pPr>
            <w:r>
              <w:rPr>
                <w:b/>
                <w:color w:val="000000"/>
              </w:rPr>
              <w:t>Componentes e fontes (comparadores)</w:t>
            </w:r>
          </w:p>
        </w:tc>
        <w:tc>
          <w:tcPr>
            <w:tcW w:w="2130" w:type="dxa"/>
            <w:shd w:val="clear" w:color="auto" w:fill="auto"/>
            <w:vAlign w:val="center"/>
          </w:tcPr>
          <w:p w14:paraId="4FB5EE11" w14:textId="77777777" w:rsidR="008238E6" w:rsidRDefault="00D61AB3">
            <w:pPr>
              <w:spacing w:before="120" w:after="120"/>
              <w:rPr>
                <w:highlight w:val="lightGray"/>
              </w:rPr>
            </w:pPr>
            <w:r>
              <w:t>A valoração dos recursos em saúde foi realizada através de consulta à tabela de Classificação Brasileira Hierarquizada de Procedimentos Médicos (CBHPM) de 2021, e a tabela da Câmara de Regulação do Mercado de Medicamentos (CMED; Publicada em 04/07/2023).</w:t>
            </w:r>
          </w:p>
        </w:tc>
        <w:tc>
          <w:tcPr>
            <w:tcW w:w="2535" w:type="dxa"/>
            <w:vAlign w:val="center"/>
          </w:tcPr>
          <w:p w14:paraId="4FB5EE12" w14:textId="77777777" w:rsidR="008238E6" w:rsidRDefault="008238E6">
            <w:pPr>
              <w:tabs>
                <w:tab w:val="left" w:pos="284"/>
              </w:tabs>
              <w:spacing w:before="120" w:after="120"/>
            </w:pPr>
          </w:p>
          <w:p w14:paraId="4FB5EE13" w14:textId="77777777" w:rsidR="008238E6" w:rsidRDefault="00D61AB3">
            <w:pPr>
              <w:tabs>
                <w:tab w:val="left" w:pos="284"/>
              </w:tabs>
              <w:spacing w:before="120" w:after="120"/>
            </w:pPr>
            <w:r>
              <w:t>As estimativas referentes aos custos diretos médicos compreenderam a identificação, a mensuração e a valoração dos recursos utilizados no manejo clínico do diabetes.</w:t>
            </w:r>
          </w:p>
        </w:tc>
        <w:tc>
          <w:tcPr>
            <w:tcW w:w="2730" w:type="dxa"/>
            <w:vAlign w:val="center"/>
          </w:tcPr>
          <w:p w14:paraId="4FB5EE14" w14:textId="2244ADD7" w:rsidR="008238E6" w:rsidRDefault="00D61AB3">
            <w:pPr>
              <w:spacing w:before="120" w:after="120"/>
            </w:pPr>
            <w:r>
              <w:t>Os PARECERISTAS incluíram o comparador como sendo a prática clínica habitual para o diagnóstico de MODY, que geralmente envolve uma combinação de critérios clínicos, história familiar, e testes bioquímicos. Entretanto, como o diagnóstico presuntivo clínico de MODY foi assumido fazer parte de ambos os cenários comparados, estando sempre disponível para a totalidade dos pacientes-alvo, esse custo não impactaria as estimativas orçamentárias e não foi incluído no modelo.</w:t>
            </w:r>
          </w:p>
          <w:p w14:paraId="4FB5EE16" w14:textId="6D4D0587" w:rsidR="008238E6" w:rsidRDefault="008238E6">
            <w:pPr>
              <w:spacing w:before="120" w:after="120"/>
            </w:pPr>
          </w:p>
        </w:tc>
      </w:tr>
      <w:tr w:rsidR="00D22512" w14:paraId="4FB5EE27" w14:textId="77777777" w:rsidTr="3EF7B8AA">
        <w:trPr>
          <w:trHeight w:val="454"/>
          <w:jc w:val="center"/>
        </w:trPr>
        <w:tc>
          <w:tcPr>
            <w:tcW w:w="1755" w:type="dxa"/>
            <w:shd w:val="clear" w:color="auto" w:fill="auto"/>
            <w:vAlign w:val="center"/>
          </w:tcPr>
          <w:p w14:paraId="4FB5EE18" w14:textId="77777777" w:rsidR="008238E6" w:rsidRDefault="00D61AB3">
            <w:pPr>
              <w:spacing w:before="120" w:after="120"/>
              <w:jc w:val="center"/>
              <w:rPr>
                <w:b/>
              </w:rPr>
            </w:pPr>
            <w:r>
              <w:rPr>
                <w:b/>
                <w:color w:val="000000"/>
              </w:rPr>
              <w:t>Custos associados</w:t>
            </w:r>
          </w:p>
        </w:tc>
        <w:tc>
          <w:tcPr>
            <w:tcW w:w="2130" w:type="dxa"/>
            <w:shd w:val="clear" w:color="auto" w:fill="auto"/>
            <w:vAlign w:val="center"/>
          </w:tcPr>
          <w:p w14:paraId="4FB5EE19" w14:textId="77777777" w:rsidR="008238E6" w:rsidRDefault="00D61AB3">
            <w:pPr>
              <w:spacing w:before="120" w:after="120"/>
            </w:pPr>
            <w:r>
              <w:t>Recursos utilizados para tratamento de retinopatia e microalbuminúria:</w:t>
            </w:r>
          </w:p>
          <w:p w14:paraId="4FB5EE1A" w14:textId="77777777" w:rsidR="008238E6" w:rsidRDefault="00D61AB3">
            <w:pPr>
              <w:numPr>
                <w:ilvl w:val="0"/>
                <w:numId w:val="8"/>
              </w:numPr>
              <w:spacing w:before="120"/>
            </w:pPr>
            <w:r>
              <w:t>Consulta Médica</w:t>
            </w:r>
          </w:p>
          <w:p w14:paraId="4FB5EE1B" w14:textId="77777777" w:rsidR="008238E6" w:rsidRDefault="00D61AB3">
            <w:pPr>
              <w:numPr>
                <w:ilvl w:val="0"/>
                <w:numId w:val="8"/>
              </w:numPr>
              <w:spacing w:before="0"/>
            </w:pPr>
            <w:r>
              <w:t>Fotocoagulação (DUT 59)</w:t>
            </w:r>
          </w:p>
          <w:p w14:paraId="4FB5EE1C" w14:textId="77777777" w:rsidR="008238E6" w:rsidRDefault="00D61AB3">
            <w:pPr>
              <w:numPr>
                <w:ilvl w:val="0"/>
                <w:numId w:val="8"/>
              </w:numPr>
              <w:spacing w:before="0"/>
            </w:pPr>
            <w:r>
              <w:t>Tratamento com antiangiogênico (DUT 74)</w:t>
            </w:r>
          </w:p>
          <w:p w14:paraId="4FB5EE1D" w14:textId="77777777" w:rsidR="008238E6" w:rsidRDefault="00D61AB3">
            <w:pPr>
              <w:numPr>
                <w:ilvl w:val="0"/>
                <w:numId w:val="8"/>
              </w:numPr>
              <w:spacing w:before="0"/>
            </w:pPr>
            <w:r>
              <w:t>Tomografia de coerência óptica (DUT 69)</w:t>
            </w:r>
          </w:p>
          <w:p w14:paraId="4FB5EE1E" w14:textId="77777777" w:rsidR="008238E6" w:rsidRDefault="00D61AB3">
            <w:pPr>
              <w:numPr>
                <w:ilvl w:val="0"/>
                <w:numId w:val="8"/>
              </w:numPr>
              <w:spacing w:before="0" w:after="120"/>
            </w:pPr>
            <w:r>
              <w:t>Exame de urina</w:t>
            </w:r>
          </w:p>
          <w:p w14:paraId="4FB5EE1F" w14:textId="77777777" w:rsidR="008238E6" w:rsidRDefault="00D61AB3">
            <w:pPr>
              <w:spacing w:before="120" w:after="120"/>
            </w:pPr>
            <w:r>
              <w:t>Custo de procedimentos para manejo do diabetes:</w:t>
            </w:r>
          </w:p>
          <w:p w14:paraId="4FB5EE20" w14:textId="77777777" w:rsidR="008238E6" w:rsidRDefault="00D61AB3">
            <w:pPr>
              <w:numPr>
                <w:ilvl w:val="0"/>
                <w:numId w:val="3"/>
              </w:numPr>
              <w:spacing w:before="120"/>
              <w:ind w:left="425"/>
            </w:pPr>
            <w:r>
              <w:t>Hemoglobina glicada (A1 total)</w:t>
            </w:r>
          </w:p>
          <w:p w14:paraId="4FB5EE21" w14:textId="77777777" w:rsidR="008238E6" w:rsidRDefault="00D61AB3">
            <w:pPr>
              <w:numPr>
                <w:ilvl w:val="0"/>
                <w:numId w:val="3"/>
              </w:numPr>
              <w:spacing w:before="0"/>
              <w:ind w:left="425"/>
            </w:pPr>
            <w:r>
              <w:t>Dosagem de glicemia após sobrecarga com dextrosol ou glicose</w:t>
            </w:r>
          </w:p>
          <w:p w14:paraId="4FB5EE22" w14:textId="77777777" w:rsidR="008238E6" w:rsidRDefault="00D61AB3">
            <w:pPr>
              <w:numPr>
                <w:ilvl w:val="0"/>
                <w:numId w:val="3"/>
              </w:numPr>
              <w:spacing w:before="0" w:after="120"/>
              <w:ind w:left="425"/>
            </w:pPr>
            <w:r>
              <w:t>Teste genético mody - Captura/Amplificação e subsequente sequenciamento de regiões genômicas</w:t>
            </w:r>
          </w:p>
        </w:tc>
        <w:tc>
          <w:tcPr>
            <w:tcW w:w="2535" w:type="dxa"/>
            <w:vAlign w:val="center"/>
          </w:tcPr>
          <w:p w14:paraId="4FB5EE23" w14:textId="77777777" w:rsidR="008238E6" w:rsidRDefault="00D61AB3">
            <w:pPr>
              <w:tabs>
                <w:tab w:val="left" w:pos="284"/>
              </w:tabs>
              <w:spacing w:before="120" w:after="120"/>
              <w:rPr>
                <w:i/>
                <w:color w:val="FF0000"/>
                <w:highlight w:val="yellow"/>
              </w:rPr>
            </w:pPr>
            <w:r>
              <w:t>Os valores unitários dos recursos utilizados para tratamento de retinopatia e microalbuminúria e as fontes de informação são apresentados no documento “20241000198_Estudo de Análise de Impacto Orçamentário – AIO.pdf”. Porém a planilha “20241000198_Planilha Análise de Impacto Orçamentário – AIO.xls” não deixa claro como foram feitos os cálculos dos custos associados.</w:t>
            </w:r>
          </w:p>
        </w:tc>
        <w:tc>
          <w:tcPr>
            <w:tcW w:w="2730" w:type="dxa"/>
            <w:vAlign w:val="center"/>
          </w:tcPr>
          <w:p w14:paraId="4FB5EE24" w14:textId="15CC1BF7" w:rsidR="008238E6" w:rsidRDefault="00D61AB3">
            <w:pPr>
              <w:spacing w:before="120" w:after="120"/>
            </w:pPr>
            <w:r>
              <w:t>O PARECERISTA se ateve aos custos imediatos da tecnologia (valor de custo do procedimento), com</w:t>
            </w:r>
            <w:r w:rsidR="132A6570">
              <w:t xml:space="preserve"> o</w:t>
            </w:r>
            <w:r>
              <w:t xml:space="preserve"> objetivo de que o impacto orçamentário calculado seja incremental ao que já existe no rol para identificação da doença.</w:t>
            </w:r>
          </w:p>
          <w:p w14:paraId="4FB5EE26" w14:textId="6F86FAEB" w:rsidR="008238E6" w:rsidRDefault="008238E6">
            <w:pPr>
              <w:spacing w:before="120" w:after="120"/>
            </w:pPr>
          </w:p>
        </w:tc>
      </w:tr>
      <w:tr w:rsidR="00D22512" w14:paraId="4FB5EE2C" w14:textId="77777777" w:rsidTr="3EF7B8AA">
        <w:trPr>
          <w:trHeight w:val="454"/>
          <w:jc w:val="center"/>
        </w:trPr>
        <w:tc>
          <w:tcPr>
            <w:tcW w:w="1755" w:type="dxa"/>
            <w:shd w:val="clear" w:color="auto" w:fill="auto"/>
            <w:vAlign w:val="center"/>
          </w:tcPr>
          <w:p w14:paraId="4FB5EE28" w14:textId="77777777" w:rsidR="008238E6" w:rsidRDefault="00D61AB3">
            <w:pPr>
              <w:spacing w:before="120" w:after="120"/>
              <w:jc w:val="center"/>
              <w:rPr>
                <w:b/>
              </w:rPr>
            </w:pPr>
            <w:r>
              <w:rPr>
                <w:b/>
                <w:color w:val="000000"/>
              </w:rPr>
              <w:t>Custos não incluídos</w:t>
            </w:r>
          </w:p>
        </w:tc>
        <w:tc>
          <w:tcPr>
            <w:tcW w:w="2130" w:type="dxa"/>
            <w:shd w:val="clear" w:color="auto" w:fill="auto"/>
            <w:vAlign w:val="center"/>
          </w:tcPr>
          <w:p w14:paraId="4FB5EE29" w14:textId="77777777" w:rsidR="008238E6" w:rsidRDefault="00D61AB3">
            <w:pPr>
              <w:spacing w:before="120" w:after="120"/>
              <w:jc w:val="center"/>
            </w:pPr>
            <w:r>
              <w:t>Não descrito</w:t>
            </w:r>
          </w:p>
        </w:tc>
        <w:tc>
          <w:tcPr>
            <w:tcW w:w="2535" w:type="dxa"/>
            <w:vAlign w:val="center"/>
          </w:tcPr>
          <w:p w14:paraId="4FB5EE2A" w14:textId="77777777" w:rsidR="008238E6" w:rsidRDefault="00D61AB3">
            <w:pPr>
              <w:spacing w:before="120" w:after="120"/>
              <w:jc w:val="center"/>
            </w:pPr>
            <w:r>
              <w:t>Não se aplica</w:t>
            </w:r>
          </w:p>
        </w:tc>
        <w:tc>
          <w:tcPr>
            <w:tcW w:w="2730" w:type="dxa"/>
            <w:vAlign w:val="center"/>
          </w:tcPr>
          <w:p w14:paraId="4FB5EE2B" w14:textId="77777777" w:rsidR="008238E6" w:rsidRDefault="00D61AB3">
            <w:pPr>
              <w:spacing w:before="120" w:after="120"/>
              <w:jc w:val="center"/>
            </w:pPr>
            <w:r>
              <w:t>Não se aplica</w:t>
            </w:r>
          </w:p>
        </w:tc>
      </w:tr>
      <w:tr w:rsidR="00D22512" w14:paraId="4FB5EE31" w14:textId="77777777" w:rsidTr="3EF7B8AA">
        <w:trPr>
          <w:trHeight w:val="454"/>
          <w:jc w:val="center"/>
        </w:trPr>
        <w:tc>
          <w:tcPr>
            <w:tcW w:w="1755" w:type="dxa"/>
            <w:shd w:val="clear" w:color="auto" w:fill="auto"/>
            <w:vAlign w:val="center"/>
          </w:tcPr>
          <w:p w14:paraId="4FB5EE2D" w14:textId="77777777" w:rsidR="008238E6" w:rsidRDefault="00D61AB3">
            <w:pPr>
              <w:spacing w:before="120" w:after="120"/>
              <w:jc w:val="center"/>
              <w:rPr>
                <w:b/>
              </w:rPr>
            </w:pPr>
            <w:r>
              <w:rPr>
                <w:b/>
                <w:color w:val="000000"/>
              </w:rPr>
              <w:t>Ajustes</w:t>
            </w:r>
          </w:p>
        </w:tc>
        <w:tc>
          <w:tcPr>
            <w:tcW w:w="2130" w:type="dxa"/>
            <w:shd w:val="clear" w:color="auto" w:fill="auto"/>
            <w:vAlign w:val="center"/>
          </w:tcPr>
          <w:p w14:paraId="4FB5EE2E" w14:textId="77777777" w:rsidR="008238E6" w:rsidRDefault="00D61AB3">
            <w:pPr>
              <w:spacing w:before="120" w:after="120"/>
              <w:jc w:val="center"/>
              <w:rPr>
                <w:highlight w:val="lightGray"/>
              </w:rPr>
            </w:pPr>
            <w:r>
              <w:t>Não descrito</w:t>
            </w:r>
          </w:p>
        </w:tc>
        <w:tc>
          <w:tcPr>
            <w:tcW w:w="2535" w:type="dxa"/>
            <w:vAlign w:val="center"/>
          </w:tcPr>
          <w:p w14:paraId="4FB5EE2F" w14:textId="77777777" w:rsidR="008238E6" w:rsidRDefault="00D61AB3">
            <w:pPr>
              <w:spacing w:before="120" w:after="120"/>
              <w:jc w:val="center"/>
            </w:pPr>
            <w:r>
              <w:t>Não se aplica</w:t>
            </w:r>
          </w:p>
        </w:tc>
        <w:tc>
          <w:tcPr>
            <w:tcW w:w="2730" w:type="dxa"/>
            <w:vAlign w:val="center"/>
          </w:tcPr>
          <w:p w14:paraId="4FB5EE30" w14:textId="77777777" w:rsidR="008238E6" w:rsidRDefault="00D61AB3">
            <w:pPr>
              <w:spacing w:before="120" w:after="120"/>
              <w:jc w:val="center"/>
            </w:pPr>
            <w:r>
              <w:t>Não se aplica</w:t>
            </w:r>
          </w:p>
        </w:tc>
      </w:tr>
    </w:tbl>
    <w:p w14:paraId="4FB5EE32" w14:textId="77777777" w:rsidR="008238E6" w:rsidRDefault="008238E6"/>
    <w:tbl>
      <w:tblPr>
        <w:tblStyle w:val="afffffff7"/>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E34" w14:textId="77777777" w:rsidTr="3EF7B8AA">
        <w:trPr>
          <w:trHeight w:val="416"/>
        </w:trPr>
        <w:tc>
          <w:tcPr>
            <w:tcW w:w="9072" w:type="dxa"/>
            <w:shd w:val="clear" w:color="auto" w:fill="D9E2F3"/>
            <w:vAlign w:val="center"/>
          </w:tcPr>
          <w:p w14:paraId="4FB5EE33" w14:textId="77777777" w:rsidR="008238E6" w:rsidRDefault="00D61AB3">
            <w:pPr>
              <w:spacing w:before="120" w:after="120"/>
              <w:jc w:val="center"/>
              <w:rPr>
                <w:b/>
              </w:rPr>
            </w:pPr>
            <w:r>
              <w:rPr>
                <w:b/>
              </w:rPr>
              <w:t>Comentários adicionais sobre os métodos gerais da AIO apresentados pelo PROPONENTE</w:t>
            </w:r>
          </w:p>
        </w:tc>
      </w:tr>
      <w:tr w:rsidR="008238E6" w14:paraId="4FB5EE38" w14:textId="77777777" w:rsidTr="3EF7B8AA">
        <w:trPr>
          <w:trHeight w:val="750"/>
        </w:trPr>
        <w:tc>
          <w:tcPr>
            <w:tcW w:w="9072" w:type="dxa"/>
            <w:vAlign w:val="center"/>
          </w:tcPr>
          <w:p w14:paraId="4FB5EE35" w14:textId="77777777" w:rsidR="008238E6" w:rsidRDefault="00D61AB3">
            <w:pPr>
              <w:spacing w:before="120" w:after="120"/>
            </w:pPr>
            <w:r>
              <w:t>A análise de impacto orçamentário (AIO) apresentada possui uma série de deficiências significativas que comprometem sua validade interna e a utilidade prática na tomada de decisão. Abaixo, destaca-se os principais problemas identificados:</w:t>
            </w:r>
          </w:p>
          <w:p w14:paraId="4FB5EE36" w14:textId="519CDDBF" w:rsidR="008238E6" w:rsidRDefault="00D61AB3" w:rsidP="3EF7B8AA">
            <w:pPr>
              <w:numPr>
                <w:ilvl w:val="0"/>
                <w:numId w:val="9"/>
              </w:numPr>
              <w:shd w:val="clear" w:color="auto" w:fill="FFFFFF" w:themeFill="background1"/>
              <w:spacing w:before="200"/>
              <w:ind w:left="940"/>
            </w:pPr>
            <w:r>
              <w:t xml:space="preserve">Falta de </w:t>
            </w:r>
            <w:r w:rsidR="1026FF19">
              <w:t>d</w:t>
            </w:r>
            <w:r>
              <w:t xml:space="preserve">etalhamento dos </w:t>
            </w:r>
            <w:r w:rsidR="45C9084C">
              <w:t>m</w:t>
            </w:r>
            <w:r>
              <w:t xml:space="preserve">étodos </w:t>
            </w:r>
            <w:r w:rsidR="19D1F947">
              <w:t>u</w:t>
            </w:r>
            <w:r>
              <w:t>tilizados: O relatório é excessivamente resumido, fornecendo poucos detalhes sobre os métodos utilizados para a valoração dos custos, tanto no cenário com quanto no cenário sem o teste genético para MODY. Não há explicação detalhada de como os custos foram calculados, o que torna difícil avaliar a precisão e a robustez da análise.</w:t>
            </w:r>
          </w:p>
          <w:p w14:paraId="4FB5EE37" w14:textId="6A878875" w:rsidR="008238E6" w:rsidRDefault="00D61AB3" w:rsidP="3EF7B8AA">
            <w:pPr>
              <w:numPr>
                <w:ilvl w:val="0"/>
                <w:numId w:val="9"/>
              </w:numPr>
              <w:shd w:val="clear" w:color="auto" w:fill="FFFFFF" w:themeFill="background1"/>
              <w:spacing w:before="0" w:after="200"/>
              <w:ind w:left="940"/>
            </w:pPr>
            <w:r>
              <w:t xml:space="preserve">Confusão e </w:t>
            </w:r>
            <w:r w:rsidR="5A45AEA8">
              <w:t>f</w:t>
            </w:r>
            <w:r>
              <w:t xml:space="preserve">alta de </w:t>
            </w:r>
            <w:r w:rsidR="0DFE8DB0">
              <w:t>t</w:t>
            </w:r>
            <w:r>
              <w:t>ransparência na Planilha de Impacto Orçamentário: A planilha fornecida pelo PROPONENTE é extremamente confusa, contendo fórmulas e valores ocultos, sem referências claras. Muitas das referências citadas estão inacessíveis ou incorretas, o que levanta preocupações sobre a confiabilidade dos dados e das conclusões derivadas.</w:t>
            </w:r>
          </w:p>
        </w:tc>
      </w:tr>
    </w:tbl>
    <w:p w14:paraId="4FB5EE39" w14:textId="77777777" w:rsidR="008238E6" w:rsidRDefault="008238E6"/>
    <w:p w14:paraId="4FB5EE3A" w14:textId="77777777" w:rsidR="008238E6" w:rsidRDefault="00D61AB3">
      <w:pPr>
        <w:pStyle w:val="Heading4"/>
        <w:rPr>
          <w:b/>
        </w:rPr>
      </w:pPr>
      <w:bookmarkStart w:id="67" w:name="_heading=h.sb6id0tfj9rf" w:colFirst="0" w:colLast="0"/>
      <w:bookmarkEnd w:id="67"/>
      <w:r>
        <w:br w:type="page"/>
      </w:r>
    </w:p>
    <w:p w14:paraId="4FB5EE3B" w14:textId="77777777" w:rsidR="008238E6" w:rsidRDefault="00D61AB3">
      <w:pPr>
        <w:pStyle w:val="Heading4"/>
      </w:pPr>
      <w:bookmarkStart w:id="68" w:name="_heading=h.vaa5ftkt7fbf" w:colFirst="0" w:colLast="0"/>
      <w:bookmarkEnd w:id="68"/>
      <w:r>
        <w:rPr>
          <w:b/>
        </w:rPr>
        <w:t>Quadro 28.</w:t>
      </w:r>
      <w:r>
        <w:t xml:space="preserve"> Estimativa da população elegível (versão do PROPONENTE e do PARECERISTA, com lógica de demanda reprimida).</w:t>
      </w:r>
    </w:p>
    <w:tbl>
      <w:tblPr>
        <w:tblStyle w:val="afffffff8"/>
        <w:tblW w:w="9039"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20"/>
        <w:gridCol w:w="3183"/>
        <w:gridCol w:w="2111"/>
        <w:gridCol w:w="2425"/>
      </w:tblGrid>
      <w:tr w:rsidR="008238E6" w14:paraId="4FB5EE3E" w14:textId="77777777">
        <w:trPr>
          <w:trHeight w:val="397"/>
        </w:trPr>
        <w:tc>
          <w:tcPr>
            <w:tcW w:w="4503" w:type="dxa"/>
            <w:gridSpan w:val="2"/>
            <w:shd w:val="clear" w:color="auto" w:fill="D9E2F3"/>
            <w:vAlign w:val="center"/>
          </w:tcPr>
          <w:p w14:paraId="4FB5EE3C" w14:textId="77777777" w:rsidR="008238E6" w:rsidRDefault="00D61AB3">
            <w:pPr>
              <w:spacing w:before="120" w:after="120"/>
              <w:jc w:val="center"/>
              <w:rPr>
                <w:b/>
              </w:rPr>
            </w:pPr>
            <w:r>
              <w:rPr>
                <w:b/>
              </w:rPr>
              <w:t>Proponente</w:t>
            </w:r>
          </w:p>
        </w:tc>
        <w:tc>
          <w:tcPr>
            <w:tcW w:w="4536" w:type="dxa"/>
            <w:gridSpan w:val="2"/>
            <w:shd w:val="clear" w:color="auto" w:fill="D9E2F3"/>
            <w:vAlign w:val="center"/>
          </w:tcPr>
          <w:p w14:paraId="4FB5EE3D" w14:textId="77777777" w:rsidR="008238E6" w:rsidRDefault="00D61AB3">
            <w:pPr>
              <w:spacing w:before="120" w:after="120"/>
              <w:jc w:val="center"/>
              <w:rPr>
                <w:b/>
              </w:rPr>
            </w:pPr>
            <w:r>
              <w:rPr>
                <w:b/>
              </w:rPr>
              <w:t>Parecerista</w:t>
            </w:r>
          </w:p>
        </w:tc>
      </w:tr>
      <w:tr w:rsidR="008238E6" w14:paraId="4FB5EE43" w14:textId="77777777">
        <w:trPr>
          <w:trHeight w:val="397"/>
        </w:trPr>
        <w:tc>
          <w:tcPr>
            <w:tcW w:w="1320" w:type="dxa"/>
            <w:shd w:val="clear" w:color="auto" w:fill="D9E2F3"/>
            <w:vAlign w:val="center"/>
          </w:tcPr>
          <w:p w14:paraId="4FB5EE3F" w14:textId="77777777" w:rsidR="008238E6" w:rsidRDefault="00D61AB3">
            <w:pPr>
              <w:spacing w:before="120" w:after="120"/>
              <w:jc w:val="center"/>
              <w:rPr>
                <w:b/>
                <w:sz w:val="20"/>
                <w:szCs w:val="20"/>
              </w:rPr>
            </w:pPr>
            <w:r>
              <w:rPr>
                <w:b/>
                <w:sz w:val="20"/>
                <w:szCs w:val="20"/>
              </w:rPr>
              <w:t>Ano</w:t>
            </w:r>
          </w:p>
        </w:tc>
        <w:tc>
          <w:tcPr>
            <w:tcW w:w="3183" w:type="dxa"/>
            <w:shd w:val="clear" w:color="auto" w:fill="D9E2F3"/>
            <w:vAlign w:val="center"/>
          </w:tcPr>
          <w:p w14:paraId="4FB5EE40" w14:textId="77777777" w:rsidR="008238E6" w:rsidRDefault="00D61AB3">
            <w:pPr>
              <w:spacing w:before="120" w:after="120"/>
              <w:jc w:val="center"/>
              <w:rPr>
                <w:b/>
                <w:sz w:val="20"/>
                <w:szCs w:val="20"/>
              </w:rPr>
            </w:pPr>
            <w:r>
              <w:rPr>
                <w:b/>
                <w:sz w:val="20"/>
                <w:szCs w:val="20"/>
              </w:rPr>
              <w:t>População</w:t>
            </w:r>
          </w:p>
        </w:tc>
        <w:tc>
          <w:tcPr>
            <w:tcW w:w="2111" w:type="dxa"/>
            <w:shd w:val="clear" w:color="auto" w:fill="D9E2F3"/>
            <w:vAlign w:val="center"/>
          </w:tcPr>
          <w:p w14:paraId="4FB5EE41" w14:textId="77777777" w:rsidR="008238E6" w:rsidRDefault="00D61AB3">
            <w:pPr>
              <w:spacing w:before="120" w:after="120"/>
              <w:jc w:val="center"/>
              <w:rPr>
                <w:b/>
                <w:sz w:val="20"/>
                <w:szCs w:val="20"/>
              </w:rPr>
            </w:pPr>
            <w:r>
              <w:rPr>
                <w:b/>
                <w:sz w:val="20"/>
                <w:szCs w:val="20"/>
              </w:rPr>
              <w:t>Ano</w:t>
            </w:r>
          </w:p>
        </w:tc>
        <w:tc>
          <w:tcPr>
            <w:tcW w:w="2425" w:type="dxa"/>
            <w:shd w:val="clear" w:color="auto" w:fill="D9E2F3"/>
            <w:vAlign w:val="center"/>
          </w:tcPr>
          <w:p w14:paraId="4FB5EE42" w14:textId="77777777" w:rsidR="008238E6" w:rsidRDefault="00D61AB3">
            <w:pPr>
              <w:spacing w:before="120" w:after="120"/>
              <w:jc w:val="center"/>
              <w:rPr>
                <w:b/>
                <w:sz w:val="20"/>
                <w:szCs w:val="20"/>
              </w:rPr>
            </w:pPr>
            <w:r>
              <w:rPr>
                <w:b/>
                <w:sz w:val="20"/>
                <w:szCs w:val="20"/>
              </w:rPr>
              <w:t>População</w:t>
            </w:r>
          </w:p>
        </w:tc>
      </w:tr>
      <w:tr w:rsidR="008238E6" w14:paraId="4FB5EE48" w14:textId="77777777">
        <w:trPr>
          <w:trHeight w:val="397"/>
        </w:trPr>
        <w:tc>
          <w:tcPr>
            <w:tcW w:w="1320" w:type="dxa"/>
            <w:vAlign w:val="center"/>
          </w:tcPr>
          <w:p w14:paraId="4FB5EE44" w14:textId="77777777" w:rsidR="008238E6" w:rsidRDefault="00D61AB3">
            <w:pPr>
              <w:spacing w:before="120" w:after="120"/>
              <w:jc w:val="center"/>
              <w:rPr>
                <w:sz w:val="20"/>
                <w:szCs w:val="20"/>
              </w:rPr>
            </w:pPr>
            <w:r>
              <w:rPr>
                <w:sz w:val="20"/>
                <w:szCs w:val="20"/>
              </w:rPr>
              <w:t>2024</w:t>
            </w:r>
          </w:p>
        </w:tc>
        <w:tc>
          <w:tcPr>
            <w:tcW w:w="3183" w:type="dxa"/>
            <w:vAlign w:val="center"/>
          </w:tcPr>
          <w:p w14:paraId="4FB5EE45" w14:textId="77777777" w:rsidR="008238E6" w:rsidRDefault="00D61AB3">
            <w:pPr>
              <w:spacing w:before="120" w:after="120"/>
              <w:jc w:val="center"/>
              <w:rPr>
                <w:sz w:val="20"/>
                <w:szCs w:val="20"/>
              </w:rPr>
            </w:pPr>
            <w:r>
              <w:rPr>
                <w:sz w:val="20"/>
                <w:szCs w:val="20"/>
              </w:rPr>
              <w:t>156.452</w:t>
            </w:r>
          </w:p>
        </w:tc>
        <w:tc>
          <w:tcPr>
            <w:tcW w:w="2111" w:type="dxa"/>
            <w:vAlign w:val="center"/>
          </w:tcPr>
          <w:p w14:paraId="4FB5EE46" w14:textId="77777777" w:rsidR="008238E6" w:rsidRDefault="00D61AB3">
            <w:pPr>
              <w:spacing w:before="120" w:after="120"/>
              <w:jc w:val="center"/>
              <w:rPr>
                <w:sz w:val="20"/>
                <w:szCs w:val="20"/>
              </w:rPr>
            </w:pPr>
            <w:r>
              <w:rPr>
                <w:sz w:val="20"/>
                <w:szCs w:val="20"/>
              </w:rPr>
              <w:t>Ano 1</w:t>
            </w:r>
          </w:p>
        </w:tc>
        <w:tc>
          <w:tcPr>
            <w:tcW w:w="2425" w:type="dxa"/>
            <w:vAlign w:val="center"/>
          </w:tcPr>
          <w:p w14:paraId="4FB5EE47" w14:textId="77777777" w:rsidR="008238E6" w:rsidRDefault="00D61AB3">
            <w:pPr>
              <w:pBdr>
                <w:top w:val="nil"/>
                <w:left w:val="nil"/>
                <w:bottom w:val="nil"/>
                <w:right w:val="nil"/>
                <w:between w:val="nil"/>
              </w:pBdr>
              <w:spacing w:before="120" w:after="120"/>
              <w:jc w:val="center"/>
              <w:rPr>
                <w:sz w:val="20"/>
                <w:szCs w:val="20"/>
              </w:rPr>
            </w:pPr>
            <w:r>
              <w:rPr>
                <w:sz w:val="20"/>
                <w:szCs w:val="20"/>
              </w:rPr>
              <w:t xml:space="preserve"> 161.288</w:t>
            </w:r>
          </w:p>
        </w:tc>
      </w:tr>
      <w:tr w:rsidR="008238E6" w14:paraId="4FB5EE4D" w14:textId="77777777">
        <w:trPr>
          <w:trHeight w:val="397"/>
        </w:trPr>
        <w:tc>
          <w:tcPr>
            <w:tcW w:w="1320" w:type="dxa"/>
            <w:vAlign w:val="center"/>
          </w:tcPr>
          <w:p w14:paraId="4FB5EE49" w14:textId="77777777" w:rsidR="008238E6" w:rsidRDefault="00D61AB3">
            <w:pPr>
              <w:spacing w:before="120" w:after="120"/>
              <w:jc w:val="center"/>
              <w:rPr>
                <w:sz w:val="20"/>
                <w:szCs w:val="20"/>
              </w:rPr>
            </w:pPr>
            <w:r>
              <w:rPr>
                <w:sz w:val="20"/>
                <w:szCs w:val="20"/>
              </w:rPr>
              <w:t>2025</w:t>
            </w:r>
          </w:p>
        </w:tc>
        <w:tc>
          <w:tcPr>
            <w:tcW w:w="3183" w:type="dxa"/>
            <w:vAlign w:val="center"/>
          </w:tcPr>
          <w:p w14:paraId="4FB5EE4A" w14:textId="77777777" w:rsidR="008238E6" w:rsidRDefault="00D61AB3">
            <w:pPr>
              <w:spacing w:before="120" w:after="120"/>
              <w:jc w:val="center"/>
              <w:rPr>
                <w:sz w:val="20"/>
                <w:szCs w:val="20"/>
              </w:rPr>
            </w:pPr>
            <w:r>
              <w:rPr>
                <w:sz w:val="20"/>
                <w:szCs w:val="20"/>
              </w:rPr>
              <w:t>110.010</w:t>
            </w:r>
          </w:p>
        </w:tc>
        <w:tc>
          <w:tcPr>
            <w:tcW w:w="2111" w:type="dxa"/>
            <w:vAlign w:val="center"/>
          </w:tcPr>
          <w:p w14:paraId="4FB5EE4B" w14:textId="77777777" w:rsidR="008238E6" w:rsidRDefault="00D61AB3">
            <w:pPr>
              <w:spacing w:before="120" w:after="120"/>
              <w:jc w:val="center"/>
              <w:rPr>
                <w:sz w:val="20"/>
                <w:szCs w:val="20"/>
              </w:rPr>
            </w:pPr>
            <w:r>
              <w:rPr>
                <w:sz w:val="20"/>
                <w:szCs w:val="20"/>
              </w:rPr>
              <w:t>Ano 2</w:t>
            </w:r>
          </w:p>
        </w:tc>
        <w:tc>
          <w:tcPr>
            <w:tcW w:w="2425" w:type="dxa"/>
            <w:vAlign w:val="center"/>
          </w:tcPr>
          <w:p w14:paraId="4FB5EE4C" w14:textId="77777777" w:rsidR="008238E6" w:rsidRDefault="00D61AB3">
            <w:pPr>
              <w:pBdr>
                <w:top w:val="nil"/>
                <w:left w:val="nil"/>
                <w:bottom w:val="nil"/>
                <w:right w:val="nil"/>
                <w:between w:val="nil"/>
              </w:pBdr>
              <w:spacing w:before="120" w:after="120"/>
              <w:jc w:val="center"/>
              <w:rPr>
                <w:sz w:val="20"/>
                <w:szCs w:val="20"/>
              </w:rPr>
            </w:pPr>
            <w:r>
              <w:rPr>
                <w:sz w:val="20"/>
                <w:szCs w:val="20"/>
              </w:rPr>
              <w:t xml:space="preserve">  113.977</w:t>
            </w:r>
          </w:p>
        </w:tc>
      </w:tr>
      <w:tr w:rsidR="008238E6" w14:paraId="4FB5EE52" w14:textId="77777777">
        <w:trPr>
          <w:trHeight w:val="397"/>
        </w:trPr>
        <w:tc>
          <w:tcPr>
            <w:tcW w:w="1320" w:type="dxa"/>
            <w:vAlign w:val="center"/>
          </w:tcPr>
          <w:p w14:paraId="4FB5EE4E" w14:textId="77777777" w:rsidR="008238E6" w:rsidRDefault="00D61AB3">
            <w:pPr>
              <w:spacing w:before="120" w:after="120"/>
              <w:jc w:val="center"/>
              <w:rPr>
                <w:sz w:val="20"/>
                <w:szCs w:val="20"/>
              </w:rPr>
            </w:pPr>
            <w:r>
              <w:rPr>
                <w:sz w:val="20"/>
                <w:szCs w:val="20"/>
              </w:rPr>
              <w:t>2026</w:t>
            </w:r>
          </w:p>
        </w:tc>
        <w:tc>
          <w:tcPr>
            <w:tcW w:w="3183" w:type="dxa"/>
            <w:vAlign w:val="center"/>
          </w:tcPr>
          <w:p w14:paraId="4FB5EE4F" w14:textId="77777777" w:rsidR="008238E6" w:rsidRDefault="00D61AB3">
            <w:pPr>
              <w:spacing w:before="120" w:after="120"/>
              <w:jc w:val="center"/>
              <w:rPr>
                <w:sz w:val="20"/>
                <w:szCs w:val="20"/>
              </w:rPr>
            </w:pPr>
            <w:r>
              <w:rPr>
                <w:sz w:val="20"/>
                <w:szCs w:val="20"/>
              </w:rPr>
              <w:t>66.480</w:t>
            </w:r>
          </w:p>
        </w:tc>
        <w:tc>
          <w:tcPr>
            <w:tcW w:w="2111" w:type="dxa"/>
            <w:vAlign w:val="center"/>
          </w:tcPr>
          <w:p w14:paraId="4FB5EE50" w14:textId="77777777" w:rsidR="008238E6" w:rsidRDefault="00D61AB3">
            <w:pPr>
              <w:spacing w:before="120" w:after="120"/>
              <w:jc w:val="center"/>
              <w:rPr>
                <w:sz w:val="20"/>
                <w:szCs w:val="20"/>
              </w:rPr>
            </w:pPr>
            <w:r>
              <w:rPr>
                <w:sz w:val="20"/>
                <w:szCs w:val="20"/>
              </w:rPr>
              <w:t>Ano 3</w:t>
            </w:r>
          </w:p>
        </w:tc>
        <w:tc>
          <w:tcPr>
            <w:tcW w:w="2425" w:type="dxa"/>
            <w:vAlign w:val="center"/>
          </w:tcPr>
          <w:p w14:paraId="4FB5EE51" w14:textId="77777777" w:rsidR="008238E6" w:rsidRDefault="00D61AB3">
            <w:pPr>
              <w:pBdr>
                <w:top w:val="nil"/>
                <w:left w:val="nil"/>
                <w:bottom w:val="nil"/>
                <w:right w:val="nil"/>
                <w:between w:val="nil"/>
              </w:pBdr>
              <w:spacing w:before="120" w:after="120"/>
              <w:jc w:val="center"/>
              <w:rPr>
                <w:sz w:val="20"/>
                <w:szCs w:val="20"/>
              </w:rPr>
            </w:pPr>
            <w:r>
              <w:rPr>
                <w:sz w:val="20"/>
                <w:szCs w:val="20"/>
              </w:rPr>
              <w:t>69.398</w:t>
            </w:r>
          </w:p>
        </w:tc>
      </w:tr>
      <w:tr w:rsidR="008238E6" w14:paraId="4FB5EE57" w14:textId="77777777">
        <w:trPr>
          <w:trHeight w:val="397"/>
        </w:trPr>
        <w:tc>
          <w:tcPr>
            <w:tcW w:w="1320" w:type="dxa"/>
            <w:vAlign w:val="center"/>
          </w:tcPr>
          <w:p w14:paraId="4FB5EE53" w14:textId="77777777" w:rsidR="008238E6" w:rsidRDefault="00D61AB3">
            <w:pPr>
              <w:spacing w:before="120" w:after="120"/>
              <w:jc w:val="center"/>
              <w:rPr>
                <w:sz w:val="20"/>
                <w:szCs w:val="20"/>
              </w:rPr>
            </w:pPr>
            <w:r>
              <w:rPr>
                <w:sz w:val="20"/>
                <w:szCs w:val="20"/>
              </w:rPr>
              <w:t>2027</w:t>
            </w:r>
          </w:p>
        </w:tc>
        <w:tc>
          <w:tcPr>
            <w:tcW w:w="3183" w:type="dxa"/>
            <w:vAlign w:val="center"/>
          </w:tcPr>
          <w:p w14:paraId="4FB5EE54" w14:textId="77777777" w:rsidR="008238E6" w:rsidRDefault="00D61AB3">
            <w:pPr>
              <w:spacing w:before="120" w:after="120"/>
              <w:jc w:val="center"/>
              <w:rPr>
                <w:sz w:val="20"/>
                <w:szCs w:val="20"/>
              </w:rPr>
            </w:pPr>
            <w:r>
              <w:rPr>
                <w:sz w:val="20"/>
                <w:szCs w:val="20"/>
              </w:rPr>
              <w:t>40.372</w:t>
            </w:r>
          </w:p>
        </w:tc>
        <w:tc>
          <w:tcPr>
            <w:tcW w:w="2111" w:type="dxa"/>
            <w:vAlign w:val="center"/>
          </w:tcPr>
          <w:p w14:paraId="4FB5EE55" w14:textId="77777777" w:rsidR="008238E6" w:rsidRDefault="00D61AB3">
            <w:pPr>
              <w:spacing w:before="120" w:after="120"/>
              <w:jc w:val="center"/>
              <w:rPr>
                <w:sz w:val="20"/>
                <w:szCs w:val="20"/>
              </w:rPr>
            </w:pPr>
            <w:r>
              <w:rPr>
                <w:sz w:val="20"/>
                <w:szCs w:val="20"/>
              </w:rPr>
              <w:t>Ano 4</w:t>
            </w:r>
          </w:p>
        </w:tc>
        <w:tc>
          <w:tcPr>
            <w:tcW w:w="2425" w:type="dxa"/>
            <w:vAlign w:val="center"/>
          </w:tcPr>
          <w:p w14:paraId="4FB5EE56" w14:textId="77777777" w:rsidR="008238E6" w:rsidRDefault="00D61AB3">
            <w:pPr>
              <w:pBdr>
                <w:top w:val="nil"/>
                <w:left w:val="nil"/>
                <w:bottom w:val="nil"/>
                <w:right w:val="nil"/>
                <w:between w:val="nil"/>
              </w:pBdr>
              <w:spacing w:before="120" w:after="120"/>
              <w:jc w:val="center"/>
              <w:rPr>
                <w:sz w:val="20"/>
                <w:szCs w:val="20"/>
              </w:rPr>
            </w:pPr>
            <w:r>
              <w:rPr>
                <w:sz w:val="20"/>
                <w:szCs w:val="20"/>
              </w:rPr>
              <w:t>35.646</w:t>
            </w:r>
          </w:p>
        </w:tc>
      </w:tr>
      <w:tr w:rsidR="008238E6" w14:paraId="4FB5EE5C" w14:textId="77777777">
        <w:trPr>
          <w:trHeight w:val="397"/>
        </w:trPr>
        <w:tc>
          <w:tcPr>
            <w:tcW w:w="1320" w:type="dxa"/>
            <w:vAlign w:val="center"/>
          </w:tcPr>
          <w:p w14:paraId="4FB5EE58" w14:textId="77777777" w:rsidR="008238E6" w:rsidRDefault="00D61AB3">
            <w:pPr>
              <w:spacing w:before="120" w:after="120"/>
              <w:jc w:val="center"/>
              <w:rPr>
                <w:sz w:val="20"/>
                <w:szCs w:val="20"/>
              </w:rPr>
            </w:pPr>
            <w:r>
              <w:rPr>
                <w:sz w:val="20"/>
                <w:szCs w:val="20"/>
              </w:rPr>
              <w:t>2028</w:t>
            </w:r>
          </w:p>
        </w:tc>
        <w:tc>
          <w:tcPr>
            <w:tcW w:w="3183" w:type="dxa"/>
            <w:vAlign w:val="center"/>
          </w:tcPr>
          <w:p w14:paraId="4FB5EE59" w14:textId="77777777" w:rsidR="008238E6" w:rsidRDefault="00D61AB3">
            <w:pPr>
              <w:spacing w:before="120" w:after="120"/>
              <w:jc w:val="center"/>
              <w:rPr>
                <w:sz w:val="20"/>
                <w:szCs w:val="20"/>
              </w:rPr>
            </w:pPr>
            <w:r>
              <w:rPr>
                <w:sz w:val="20"/>
                <w:szCs w:val="20"/>
              </w:rPr>
              <w:t>24.639</w:t>
            </w:r>
          </w:p>
        </w:tc>
        <w:tc>
          <w:tcPr>
            <w:tcW w:w="2111" w:type="dxa"/>
            <w:vAlign w:val="center"/>
          </w:tcPr>
          <w:p w14:paraId="4FB5EE5A" w14:textId="77777777" w:rsidR="008238E6" w:rsidRDefault="00D61AB3">
            <w:pPr>
              <w:spacing w:before="120" w:after="120"/>
              <w:jc w:val="center"/>
              <w:rPr>
                <w:sz w:val="20"/>
                <w:szCs w:val="20"/>
              </w:rPr>
            </w:pPr>
            <w:r>
              <w:rPr>
                <w:sz w:val="20"/>
                <w:szCs w:val="20"/>
              </w:rPr>
              <w:t>Ano 5</w:t>
            </w:r>
          </w:p>
        </w:tc>
        <w:tc>
          <w:tcPr>
            <w:tcW w:w="2425" w:type="dxa"/>
            <w:vAlign w:val="center"/>
          </w:tcPr>
          <w:p w14:paraId="4FB5EE5B" w14:textId="77777777" w:rsidR="008238E6" w:rsidRDefault="00D61AB3">
            <w:pPr>
              <w:pBdr>
                <w:top w:val="nil"/>
                <w:left w:val="nil"/>
                <w:bottom w:val="nil"/>
                <w:right w:val="nil"/>
                <w:between w:val="nil"/>
              </w:pBdr>
              <w:spacing w:before="120" w:after="120"/>
              <w:jc w:val="center"/>
              <w:rPr>
                <w:sz w:val="20"/>
                <w:szCs w:val="20"/>
              </w:rPr>
            </w:pPr>
            <w:r>
              <w:rPr>
                <w:sz w:val="20"/>
                <w:szCs w:val="20"/>
              </w:rPr>
              <w:t>15.138</w:t>
            </w:r>
          </w:p>
        </w:tc>
      </w:tr>
      <w:tr w:rsidR="008238E6" w14:paraId="4FB5EE61" w14:textId="77777777">
        <w:trPr>
          <w:trHeight w:val="397"/>
        </w:trPr>
        <w:tc>
          <w:tcPr>
            <w:tcW w:w="1320" w:type="dxa"/>
            <w:vAlign w:val="center"/>
          </w:tcPr>
          <w:p w14:paraId="4FB5EE5D" w14:textId="77777777" w:rsidR="008238E6" w:rsidRDefault="00D61AB3">
            <w:pPr>
              <w:spacing w:before="120" w:after="120"/>
              <w:jc w:val="center"/>
              <w:rPr>
                <w:sz w:val="20"/>
                <w:szCs w:val="20"/>
              </w:rPr>
            </w:pPr>
            <w:r>
              <w:rPr>
                <w:sz w:val="20"/>
                <w:szCs w:val="20"/>
              </w:rPr>
              <w:t>Total</w:t>
            </w:r>
          </w:p>
        </w:tc>
        <w:tc>
          <w:tcPr>
            <w:tcW w:w="3183" w:type="dxa"/>
            <w:vAlign w:val="center"/>
          </w:tcPr>
          <w:p w14:paraId="4FB5EE5E" w14:textId="77777777" w:rsidR="008238E6" w:rsidRDefault="00D61AB3">
            <w:pPr>
              <w:spacing w:before="120" w:after="120"/>
              <w:jc w:val="center"/>
              <w:rPr>
                <w:sz w:val="20"/>
                <w:szCs w:val="20"/>
                <w:highlight w:val="lightGray"/>
              </w:rPr>
            </w:pPr>
            <w:r>
              <w:rPr>
                <w:sz w:val="20"/>
                <w:szCs w:val="20"/>
              </w:rPr>
              <w:t>397.953</w:t>
            </w:r>
          </w:p>
        </w:tc>
        <w:tc>
          <w:tcPr>
            <w:tcW w:w="2111" w:type="dxa"/>
            <w:vAlign w:val="center"/>
          </w:tcPr>
          <w:p w14:paraId="4FB5EE5F" w14:textId="77777777" w:rsidR="008238E6" w:rsidRDefault="00D61AB3">
            <w:pPr>
              <w:spacing w:before="120" w:after="120"/>
              <w:jc w:val="center"/>
              <w:rPr>
                <w:sz w:val="20"/>
                <w:szCs w:val="20"/>
              </w:rPr>
            </w:pPr>
            <w:r>
              <w:rPr>
                <w:sz w:val="20"/>
                <w:szCs w:val="20"/>
              </w:rPr>
              <w:t>Total</w:t>
            </w:r>
          </w:p>
        </w:tc>
        <w:tc>
          <w:tcPr>
            <w:tcW w:w="2425" w:type="dxa"/>
            <w:vAlign w:val="center"/>
          </w:tcPr>
          <w:p w14:paraId="4FB5EE60" w14:textId="77777777" w:rsidR="008238E6" w:rsidRDefault="00D61AB3">
            <w:pPr>
              <w:pBdr>
                <w:top w:val="nil"/>
                <w:left w:val="nil"/>
                <w:bottom w:val="nil"/>
                <w:right w:val="nil"/>
                <w:between w:val="nil"/>
              </w:pBdr>
              <w:spacing w:before="120" w:after="120"/>
              <w:jc w:val="center"/>
              <w:rPr>
                <w:sz w:val="20"/>
                <w:szCs w:val="20"/>
              </w:rPr>
            </w:pPr>
            <w:r>
              <w:rPr>
                <w:sz w:val="20"/>
                <w:szCs w:val="20"/>
              </w:rPr>
              <w:t>395.446</w:t>
            </w:r>
          </w:p>
        </w:tc>
      </w:tr>
      <w:tr w:rsidR="008238E6" w14:paraId="4FB5EE66" w14:textId="77777777">
        <w:trPr>
          <w:trHeight w:val="397"/>
        </w:trPr>
        <w:tc>
          <w:tcPr>
            <w:tcW w:w="1320" w:type="dxa"/>
            <w:vAlign w:val="center"/>
          </w:tcPr>
          <w:p w14:paraId="4FB5EE62" w14:textId="77777777" w:rsidR="008238E6" w:rsidRDefault="00D61AB3">
            <w:pPr>
              <w:spacing w:before="120" w:after="120"/>
              <w:jc w:val="center"/>
              <w:rPr>
                <w:sz w:val="20"/>
                <w:szCs w:val="20"/>
              </w:rPr>
            </w:pPr>
            <w:r>
              <w:rPr>
                <w:sz w:val="20"/>
                <w:szCs w:val="20"/>
              </w:rPr>
              <w:t>Média anual</w:t>
            </w:r>
          </w:p>
        </w:tc>
        <w:tc>
          <w:tcPr>
            <w:tcW w:w="3183" w:type="dxa"/>
            <w:vAlign w:val="center"/>
          </w:tcPr>
          <w:p w14:paraId="4FB5EE63" w14:textId="1EBE4931" w:rsidR="008238E6" w:rsidRDefault="00D61AB3">
            <w:pPr>
              <w:spacing w:before="120" w:after="120"/>
              <w:jc w:val="center"/>
              <w:rPr>
                <w:sz w:val="20"/>
                <w:szCs w:val="20"/>
                <w:highlight w:val="lightGray"/>
              </w:rPr>
            </w:pPr>
            <w:r>
              <w:rPr>
                <w:sz w:val="20"/>
                <w:szCs w:val="20"/>
              </w:rPr>
              <w:t>79.590</w:t>
            </w:r>
          </w:p>
        </w:tc>
        <w:tc>
          <w:tcPr>
            <w:tcW w:w="2111" w:type="dxa"/>
            <w:vAlign w:val="center"/>
          </w:tcPr>
          <w:p w14:paraId="4FB5EE64" w14:textId="77777777" w:rsidR="008238E6" w:rsidRDefault="00D61AB3">
            <w:pPr>
              <w:spacing w:before="120" w:after="120"/>
              <w:jc w:val="center"/>
              <w:rPr>
                <w:sz w:val="20"/>
                <w:szCs w:val="20"/>
              </w:rPr>
            </w:pPr>
            <w:r>
              <w:rPr>
                <w:sz w:val="20"/>
                <w:szCs w:val="20"/>
              </w:rPr>
              <w:t>Média anual</w:t>
            </w:r>
          </w:p>
        </w:tc>
        <w:tc>
          <w:tcPr>
            <w:tcW w:w="2425" w:type="dxa"/>
            <w:vAlign w:val="center"/>
          </w:tcPr>
          <w:p w14:paraId="4FB5EE65" w14:textId="1096E1C9" w:rsidR="008238E6" w:rsidRDefault="00D61AB3">
            <w:pPr>
              <w:pBdr>
                <w:top w:val="nil"/>
                <w:left w:val="nil"/>
                <w:bottom w:val="nil"/>
                <w:right w:val="nil"/>
                <w:between w:val="nil"/>
              </w:pBdr>
              <w:spacing w:before="120" w:after="120"/>
              <w:jc w:val="center"/>
              <w:rPr>
                <w:sz w:val="20"/>
                <w:szCs w:val="20"/>
              </w:rPr>
            </w:pPr>
            <w:r>
              <w:rPr>
                <w:sz w:val="20"/>
                <w:szCs w:val="20"/>
              </w:rPr>
              <w:t>79.089</w:t>
            </w:r>
          </w:p>
        </w:tc>
      </w:tr>
    </w:tbl>
    <w:p w14:paraId="4FB5EE67" w14:textId="77777777" w:rsidR="008238E6" w:rsidRDefault="008238E6"/>
    <w:tbl>
      <w:tblPr>
        <w:tblStyle w:val="afffffff9"/>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E69" w14:textId="77777777">
        <w:trPr>
          <w:trHeight w:val="416"/>
        </w:trPr>
        <w:tc>
          <w:tcPr>
            <w:tcW w:w="9072" w:type="dxa"/>
            <w:shd w:val="clear" w:color="auto" w:fill="D9E2F3"/>
            <w:vAlign w:val="center"/>
          </w:tcPr>
          <w:p w14:paraId="4FB5EE68" w14:textId="77777777" w:rsidR="008238E6" w:rsidRDefault="00D61AB3">
            <w:pPr>
              <w:spacing w:before="120" w:after="120"/>
              <w:jc w:val="center"/>
              <w:rPr>
                <w:b/>
              </w:rPr>
            </w:pPr>
            <w:r>
              <w:rPr>
                <w:b/>
              </w:rPr>
              <w:t>Comentários adicionais sobre a estimativa da população apresentada pelo PROPONENTE</w:t>
            </w:r>
          </w:p>
        </w:tc>
      </w:tr>
      <w:tr w:rsidR="008238E6" w14:paraId="4FB5EE6E" w14:textId="77777777">
        <w:trPr>
          <w:trHeight w:val="750"/>
        </w:trPr>
        <w:tc>
          <w:tcPr>
            <w:tcW w:w="9072" w:type="dxa"/>
            <w:vAlign w:val="center"/>
          </w:tcPr>
          <w:p w14:paraId="4FB5EE6A" w14:textId="77777777" w:rsidR="008238E6" w:rsidRDefault="00D61AB3">
            <w:pPr>
              <w:shd w:val="clear" w:color="auto" w:fill="FFFFFF"/>
              <w:spacing w:before="200" w:after="200"/>
            </w:pPr>
            <w:r>
              <w:t>Problemas na Estimativa da População-Alvo:</w:t>
            </w:r>
          </w:p>
          <w:p w14:paraId="4FB5EE6B" w14:textId="77777777" w:rsidR="008238E6" w:rsidRDefault="00D61AB3">
            <w:pPr>
              <w:numPr>
                <w:ilvl w:val="0"/>
                <w:numId w:val="12"/>
              </w:numPr>
              <w:spacing w:before="200"/>
            </w:pPr>
            <w:r>
              <w:t>Método de estimativa da prevalência de DM: O PROPONENTE tentou estimar a prevalência de DM entre os beneficiários de operadoras de planos de saúde no Brasil, porém o método utilizado não foi descrito no relatório. A forma como essas estimativas são apresentadas na planilha é confusa e de difícil entendimento, prejudicando a clareza da análise.</w:t>
            </w:r>
          </w:p>
          <w:p w14:paraId="4FB5EE6C" w14:textId="77777777" w:rsidR="008238E6" w:rsidRDefault="00D61AB3">
            <w:pPr>
              <w:numPr>
                <w:ilvl w:val="0"/>
                <w:numId w:val="12"/>
              </w:numPr>
              <w:spacing w:before="0"/>
            </w:pPr>
            <w:r>
              <w:t>Referências desatualizadas e inacessíveis: As referências utilizadas para a prevalência de DM por faixas etárias estão desatualizadas e inacessíveis (poster-atlas-IDF-2017). Mesmo após busca extensiva, as prevalências por faixa etária mencionadas no pôster não foram encontradas. Além disso, há falta de transparência na apresentação das proporções, com valores que não correspondem às categorias etárias usuais.</w:t>
            </w:r>
          </w:p>
          <w:p w14:paraId="4FB5EE6D" w14:textId="77777777" w:rsidR="008238E6" w:rsidRDefault="00D61AB3">
            <w:pPr>
              <w:numPr>
                <w:ilvl w:val="0"/>
                <w:numId w:val="12"/>
              </w:numPr>
              <w:spacing w:before="0" w:after="200"/>
            </w:pPr>
            <w:r>
              <w:t>Utilização de Dados Inadequados: As referências para prevalência de DM em adolescentes referem-se a DM tipo 2, utilizando valores que não correspondem às estimativas de prevalência fornecidas nos artigos citados. O valor utilizado na AIO baseia-se em um odds ratio ajustado para risco de diabetes, em vez de uma estimativa de prevalência apropriada.</w:t>
            </w:r>
          </w:p>
        </w:tc>
      </w:tr>
    </w:tbl>
    <w:p w14:paraId="4FB5EE6F" w14:textId="77777777" w:rsidR="008238E6" w:rsidRDefault="008238E6">
      <w:pPr>
        <w:pStyle w:val="Heading4"/>
        <w:jc w:val="left"/>
        <w:rPr>
          <w:b/>
        </w:rPr>
      </w:pPr>
      <w:bookmarkStart w:id="69" w:name="_heading=h.1b7u1a7natyy" w:colFirst="0" w:colLast="0"/>
      <w:bookmarkEnd w:id="69"/>
    </w:p>
    <w:p w14:paraId="4FB5EE70" w14:textId="77777777" w:rsidR="008238E6" w:rsidRDefault="00D61AB3">
      <w:pPr>
        <w:pStyle w:val="Heading4"/>
        <w:rPr>
          <w:b/>
        </w:rPr>
      </w:pPr>
      <w:bookmarkStart w:id="70" w:name="_heading=h.wftwfv2kcdim" w:colFirst="0" w:colLast="0"/>
      <w:bookmarkEnd w:id="70"/>
      <w:r>
        <w:br w:type="page"/>
      </w:r>
    </w:p>
    <w:p w14:paraId="4FB5EE71" w14:textId="77777777" w:rsidR="008238E6" w:rsidRDefault="00D61AB3">
      <w:pPr>
        <w:pStyle w:val="Heading4"/>
      </w:pPr>
      <w:bookmarkStart w:id="71" w:name="_heading=h.h3tba8u5bja7" w:colFirst="0" w:colLast="0"/>
      <w:bookmarkEnd w:id="71"/>
      <w:r>
        <w:rPr>
          <w:b/>
        </w:rPr>
        <w:t>Quadro 29.</w:t>
      </w:r>
      <w:r>
        <w:t xml:space="preserve">  Progressão estimada de participação no mercado apresentada pelo PROPONENTE.</w:t>
      </w:r>
    </w:p>
    <w:tbl>
      <w:tblPr>
        <w:tblStyle w:val="afffffffa"/>
        <w:tblW w:w="663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00"/>
        <w:gridCol w:w="747"/>
        <w:gridCol w:w="747"/>
        <w:gridCol w:w="747"/>
        <w:gridCol w:w="747"/>
        <w:gridCol w:w="747"/>
      </w:tblGrid>
      <w:tr w:rsidR="008238E6" w14:paraId="4FB5EE78" w14:textId="77777777">
        <w:trPr>
          <w:trHeight w:val="300"/>
          <w:jc w:val="center"/>
        </w:trPr>
        <w:tc>
          <w:tcPr>
            <w:tcW w:w="2900" w:type="dxa"/>
            <w:shd w:val="clear" w:color="auto" w:fill="D9E2F3"/>
          </w:tcPr>
          <w:p w14:paraId="4FB5EE72" w14:textId="77777777" w:rsidR="008238E6" w:rsidRDefault="00D61AB3">
            <w:pPr>
              <w:spacing w:before="120" w:after="120"/>
              <w:jc w:val="center"/>
              <w:rPr>
                <w:b/>
              </w:rPr>
            </w:pPr>
            <w:r>
              <w:rPr>
                <w:b/>
              </w:rPr>
              <w:t>Cenário A – atual</w:t>
            </w:r>
          </w:p>
        </w:tc>
        <w:tc>
          <w:tcPr>
            <w:tcW w:w="747" w:type="dxa"/>
            <w:shd w:val="clear" w:color="auto" w:fill="D9E2F3"/>
          </w:tcPr>
          <w:p w14:paraId="4FB5EE73" w14:textId="77777777" w:rsidR="008238E6" w:rsidRDefault="00D61AB3">
            <w:pPr>
              <w:spacing w:before="120" w:after="120"/>
              <w:jc w:val="center"/>
              <w:rPr>
                <w:b/>
              </w:rPr>
            </w:pPr>
            <w:r>
              <w:rPr>
                <w:b/>
              </w:rPr>
              <w:t>Ano 1</w:t>
            </w:r>
          </w:p>
        </w:tc>
        <w:tc>
          <w:tcPr>
            <w:tcW w:w="747" w:type="dxa"/>
            <w:shd w:val="clear" w:color="auto" w:fill="D9E2F3"/>
          </w:tcPr>
          <w:p w14:paraId="4FB5EE74" w14:textId="77777777" w:rsidR="008238E6" w:rsidRDefault="00D61AB3">
            <w:pPr>
              <w:spacing w:before="120" w:after="120"/>
              <w:jc w:val="center"/>
              <w:rPr>
                <w:b/>
              </w:rPr>
            </w:pPr>
            <w:r>
              <w:rPr>
                <w:b/>
              </w:rPr>
              <w:t>Ano 2</w:t>
            </w:r>
          </w:p>
        </w:tc>
        <w:tc>
          <w:tcPr>
            <w:tcW w:w="747" w:type="dxa"/>
            <w:shd w:val="clear" w:color="auto" w:fill="D9E2F3"/>
          </w:tcPr>
          <w:p w14:paraId="4FB5EE75" w14:textId="77777777" w:rsidR="008238E6" w:rsidRDefault="00D61AB3">
            <w:pPr>
              <w:spacing w:before="120" w:after="120"/>
              <w:jc w:val="center"/>
              <w:rPr>
                <w:b/>
              </w:rPr>
            </w:pPr>
            <w:r>
              <w:rPr>
                <w:b/>
              </w:rPr>
              <w:t>Ano 3</w:t>
            </w:r>
          </w:p>
        </w:tc>
        <w:tc>
          <w:tcPr>
            <w:tcW w:w="747" w:type="dxa"/>
            <w:shd w:val="clear" w:color="auto" w:fill="D9E2F3"/>
          </w:tcPr>
          <w:p w14:paraId="4FB5EE76" w14:textId="77777777" w:rsidR="008238E6" w:rsidRDefault="00D61AB3">
            <w:pPr>
              <w:spacing w:before="120" w:after="120"/>
              <w:jc w:val="center"/>
              <w:rPr>
                <w:b/>
              </w:rPr>
            </w:pPr>
            <w:r>
              <w:rPr>
                <w:b/>
              </w:rPr>
              <w:t>Ano 4</w:t>
            </w:r>
          </w:p>
        </w:tc>
        <w:tc>
          <w:tcPr>
            <w:tcW w:w="747" w:type="dxa"/>
            <w:shd w:val="clear" w:color="auto" w:fill="D9E2F3"/>
          </w:tcPr>
          <w:p w14:paraId="4FB5EE77" w14:textId="77777777" w:rsidR="008238E6" w:rsidRDefault="00D61AB3">
            <w:pPr>
              <w:spacing w:before="120" w:after="120"/>
              <w:jc w:val="center"/>
              <w:rPr>
                <w:b/>
              </w:rPr>
            </w:pPr>
            <w:r>
              <w:rPr>
                <w:b/>
              </w:rPr>
              <w:t>Ano 5</w:t>
            </w:r>
          </w:p>
        </w:tc>
      </w:tr>
      <w:tr w:rsidR="008238E6" w14:paraId="4FB5EE7F" w14:textId="77777777">
        <w:trPr>
          <w:trHeight w:val="300"/>
          <w:jc w:val="center"/>
        </w:trPr>
        <w:tc>
          <w:tcPr>
            <w:tcW w:w="2900" w:type="dxa"/>
          </w:tcPr>
          <w:p w14:paraId="4FB5EE79" w14:textId="77777777" w:rsidR="008238E6" w:rsidRDefault="00D61AB3">
            <w:pPr>
              <w:spacing w:before="120" w:after="120"/>
              <w:jc w:val="left"/>
            </w:pPr>
            <w:r>
              <w:t>Com teste genético para diabetes MODY</w:t>
            </w:r>
          </w:p>
        </w:tc>
        <w:tc>
          <w:tcPr>
            <w:tcW w:w="747" w:type="dxa"/>
          </w:tcPr>
          <w:p w14:paraId="4FB5EE7A" w14:textId="77777777" w:rsidR="008238E6" w:rsidRDefault="00D61AB3">
            <w:pPr>
              <w:spacing w:before="120" w:after="120"/>
              <w:jc w:val="center"/>
              <w:rPr>
                <w:b/>
              </w:rPr>
            </w:pPr>
            <w:r>
              <w:t>0%</w:t>
            </w:r>
          </w:p>
        </w:tc>
        <w:tc>
          <w:tcPr>
            <w:tcW w:w="747" w:type="dxa"/>
          </w:tcPr>
          <w:p w14:paraId="4FB5EE7B" w14:textId="77777777" w:rsidR="008238E6" w:rsidRDefault="00D61AB3">
            <w:pPr>
              <w:spacing w:before="120" w:after="120"/>
              <w:jc w:val="center"/>
              <w:rPr>
                <w:b/>
              </w:rPr>
            </w:pPr>
            <w:r>
              <w:t>0%</w:t>
            </w:r>
          </w:p>
        </w:tc>
        <w:tc>
          <w:tcPr>
            <w:tcW w:w="747" w:type="dxa"/>
          </w:tcPr>
          <w:p w14:paraId="4FB5EE7C" w14:textId="77777777" w:rsidR="008238E6" w:rsidRDefault="00D61AB3">
            <w:pPr>
              <w:spacing w:before="120" w:after="120"/>
              <w:jc w:val="center"/>
              <w:rPr>
                <w:b/>
              </w:rPr>
            </w:pPr>
            <w:r>
              <w:t>0%</w:t>
            </w:r>
          </w:p>
        </w:tc>
        <w:tc>
          <w:tcPr>
            <w:tcW w:w="747" w:type="dxa"/>
          </w:tcPr>
          <w:p w14:paraId="4FB5EE7D" w14:textId="77777777" w:rsidR="008238E6" w:rsidRDefault="00D61AB3">
            <w:pPr>
              <w:spacing w:before="120" w:after="120"/>
              <w:jc w:val="center"/>
              <w:rPr>
                <w:b/>
              </w:rPr>
            </w:pPr>
            <w:r>
              <w:t>0%</w:t>
            </w:r>
          </w:p>
        </w:tc>
        <w:tc>
          <w:tcPr>
            <w:tcW w:w="747" w:type="dxa"/>
          </w:tcPr>
          <w:p w14:paraId="4FB5EE7E" w14:textId="77777777" w:rsidR="008238E6" w:rsidRDefault="00D61AB3">
            <w:pPr>
              <w:spacing w:before="120" w:after="120"/>
              <w:jc w:val="center"/>
              <w:rPr>
                <w:b/>
              </w:rPr>
            </w:pPr>
            <w:r>
              <w:t>0%</w:t>
            </w:r>
          </w:p>
        </w:tc>
      </w:tr>
      <w:tr w:rsidR="008238E6" w14:paraId="4FB5EE86" w14:textId="77777777">
        <w:trPr>
          <w:trHeight w:val="300"/>
          <w:jc w:val="center"/>
        </w:trPr>
        <w:tc>
          <w:tcPr>
            <w:tcW w:w="2900" w:type="dxa"/>
          </w:tcPr>
          <w:p w14:paraId="4FB5EE80" w14:textId="77777777" w:rsidR="008238E6" w:rsidRDefault="00D61AB3">
            <w:pPr>
              <w:spacing w:before="120" w:after="120"/>
              <w:jc w:val="left"/>
            </w:pPr>
            <w:r>
              <w:t>Sem teste genético para diabetes MODY</w:t>
            </w:r>
          </w:p>
        </w:tc>
        <w:tc>
          <w:tcPr>
            <w:tcW w:w="747" w:type="dxa"/>
          </w:tcPr>
          <w:p w14:paraId="4FB5EE81" w14:textId="77777777" w:rsidR="008238E6" w:rsidRDefault="00D61AB3">
            <w:pPr>
              <w:spacing w:before="120" w:after="120"/>
              <w:jc w:val="center"/>
            </w:pPr>
            <w:r>
              <w:t>100%</w:t>
            </w:r>
          </w:p>
        </w:tc>
        <w:tc>
          <w:tcPr>
            <w:tcW w:w="747" w:type="dxa"/>
          </w:tcPr>
          <w:p w14:paraId="4FB5EE82" w14:textId="77777777" w:rsidR="008238E6" w:rsidRDefault="00D61AB3">
            <w:pPr>
              <w:spacing w:before="120" w:after="120"/>
              <w:jc w:val="center"/>
            </w:pPr>
            <w:r>
              <w:t>100%</w:t>
            </w:r>
          </w:p>
        </w:tc>
        <w:tc>
          <w:tcPr>
            <w:tcW w:w="747" w:type="dxa"/>
          </w:tcPr>
          <w:p w14:paraId="4FB5EE83" w14:textId="77777777" w:rsidR="008238E6" w:rsidRDefault="00D61AB3">
            <w:pPr>
              <w:spacing w:before="120" w:after="120"/>
              <w:jc w:val="center"/>
            </w:pPr>
            <w:r>
              <w:t>100%</w:t>
            </w:r>
          </w:p>
        </w:tc>
        <w:tc>
          <w:tcPr>
            <w:tcW w:w="747" w:type="dxa"/>
          </w:tcPr>
          <w:p w14:paraId="4FB5EE84" w14:textId="77777777" w:rsidR="008238E6" w:rsidRDefault="00D61AB3">
            <w:pPr>
              <w:spacing w:before="120" w:after="120"/>
              <w:jc w:val="center"/>
            </w:pPr>
            <w:r>
              <w:t>100%</w:t>
            </w:r>
          </w:p>
        </w:tc>
        <w:tc>
          <w:tcPr>
            <w:tcW w:w="747" w:type="dxa"/>
          </w:tcPr>
          <w:p w14:paraId="4FB5EE85" w14:textId="77777777" w:rsidR="008238E6" w:rsidRDefault="00D61AB3">
            <w:pPr>
              <w:spacing w:before="120" w:after="120"/>
              <w:jc w:val="center"/>
            </w:pPr>
            <w:r>
              <w:t>100%</w:t>
            </w:r>
          </w:p>
        </w:tc>
      </w:tr>
      <w:tr w:rsidR="008238E6" w14:paraId="4FB5EE8D" w14:textId="77777777">
        <w:trPr>
          <w:trHeight w:val="300"/>
          <w:jc w:val="center"/>
        </w:trPr>
        <w:tc>
          <w:tcPr>
            <w:tcW w:w="2900" w:type="dxa"/>
          </w:tcPr>
          <w:p w14:paraId="4FB5EE87" w14:textId="77777777" w:rsidR="008238E6" w:rsidRDefault="00D61AB3">
            <w:pPr>
              <w:spacing w:before="120" w:after="120"/>
              <w:jc w:val="center"/>
              <w:rPr>
                <w:b/>
              </w:rPr>
            </w:pPr>
            <w:r>
              <w:rPr>
                <w:b/>
              </w:rPr>
              <w:t>Cenário B – projetado</w:t>
            </w:r>
          </w:p>
        </w:tc>
        <w:tc>
          <w:tcPr>
            <w:tcW w:w="747" w:type="dxa"/>
          </w:tcPr>
          <w:p w14:paraId="4FB5EE88" w14:textId="77777777" w:rsidR="008238E6" w:rsidRDefault="00D61AB3">
            <w:pPr>
              <w:spacing w:before="120" w:after="120"/>
              <w:jc w:val="center"/>
              <w:rPr>
                <w:b/>
              </w:rPr>
            </w:pPr>
            <w:r>
              <w:rPr>
                <w:b/>
              </w:rPr>
              <w:t>Ano 1</w:t>
            </w:r>
          </w:p>
        </w:tc>
        <w:tc>
          <w:tcPr>
            <w:tcW w:w="747" w:type="dxa"/>
          </w:tcPr>
          <w:p w14:paraId="4FB5EE89" w14:textId="77777777" w:rsidR="008238E6" w:rsidRDefault="00D61AB3">
            <w:pPr>
              <w:spacing w:before="120" w:after="120"/>
              <w:jc w:val="center"/>
              <w:rPr>
                <w:b/>
              </w:rPr>
            </w:pPr>
            <w:r>
              <w:rPr>
                <w:b/>
              </w:rPr>
              <w:t>Ano 2</w:t>
            </w:r>
          </w:p>
        </w:tc>
        <w:tc>
          <w:tcPr>
            <w:tcW w:w="747" w:type="dxa"/>
          </w:tcPr>
          <w:p w14:paraId="4FB5EE8A" w14:textId="77777777" w:rsidR="008238E6" w:rsidRDefault="00D61AB3">
            <w:pPr>
              <w:spacing w:before="120" w:after="120"/>
              <w:jc w:val="center"/>
              <w:rPr>
                <w:b/>
              </w:rPr>
            </w:pPr>
            <w:r>
              <w:rPr>
                <w:b/>
              </w:rPr>
              <w:t>Ano 3</w:t>
            </w:r>
          </w:p>
        </w:tc>
        <w:tc>
          <w:tcPr>
            <w:tcW w:w="747" w:type="dxa"/>
          </w:tcPr>
          <w:p w14:paraId="4FB5EE8B" w14:textId="77777777" w:rsidR="008238E6" w:rsidRDefault="00D61AB3">
            <w:pPr>
              <w:spacing w:before="120" w:after="120"/>
              <w:jc w:val="center"/>
              <w:rPr>
                <w:b/>
              </w:rPr>
            </w:pPr>
            <w:r>
              <w:rPr>
                <w:b/>
              </w:rPr>
              <w:t>Ano 4</w:t>
            </w:r>
          </w:p>
        </w:tc>
        <w:tc>
          <w:tcPr>
            <w:tcW w:w="747" w:type="dxa"/>
          </w:tcPr>
          <w:p w14:paraId="4FB5EE8C" w14:textId="77777777" w:rsidR="008238E6" w:rsidRDefault="00D61AB3">
            <w:pPr>
              <w:spacing w:before="120" w:after="120"/>
              <w:jc w:val="center"/>
              <w:rPr>
                <w:b/>
              </w:rPr>
            </w:pPr>
            <w:r>
              <w:rPr>
                <w:b/>
              </w:rPr>
              <w:t>Ano 5</w:t>
            </w:r>
          </w:p>
        </w:tc>
      </w:tr>
      <w:tr w:rsidR="008238E6" w14:paraId="4FB5EE94" w14:textId="77777777">
        <w:trPr>
          <w:trHeight w:val="300"/>
          <w:jc w:val="center"/>
        </w:trPr>
        <w:tc>
          <w:tcPr>
            <w:tcW w:w="2900" w:type="dxa"/>
          </w:tcPr>
          <w:p w14:paraId="4FB5EE8E" w14:textId="77777777" w:rsidR="008238E6" w:rsidRDefault="00D61AB3">
            <w:pPr>
              <w:spacing w:before="120" w:after="120"/>
              <w:jc w:val="left"/>
            </w:pPr>
            <w:r>
              <w:t>Com a teste genético para diabetes MODY</w:t>
            </w:r>
          </w:p>
        </w:tc>
        <w:tc>
          <w:tcPr>
            <w:tcW w:w="747" w:type="dxa"/>
          </w:tcPr>
          <w:p w14:paraId="4FB5EE8F" w14:textId="77777777" w:rsidR="008238E6" w:rsidRDefault="00D61AB3">
            <w:pPr>
              <w:spacing w:before="120" w:after="120"/>
              <w:jc w:val="center"/>
              <w:rPr>
                <w:b/>
              </w:rPr>
            </w:pPr>
            <w:r>
              <w:t>30%</w:t>
            </w:r>
          </w:p>
        </w:tc>
        <w:tc>
          <w:tcPr>
            <w:tcW w:w="747" w:type="dxa"/>
          </w:tcPr>
          <w:p w14:paraId="4FB5EE90" w14:textId="77777777" w:rsidR="008238E6" w:rsidRDefault="00D61AB3">
            <w:pPr>
              <w:spacing w:before="120" w:after="120"/>
              <w:jc w:val="center"/>
              <w:rPr>
                <w:b/>
              </w:rPr>
            </w:pPr>
            <w:r>
              <w:t>40%</w:t>
            </w:r>
          </w:p>
        </w:tc>
        <w:tc>
          <w:tcPr>
            <w:tcW w:w="747" w:type="dxa"/>
          </w:tcPr>
          <w:p w14:paraId="4FB5EE91" w14:textId="77777777" w:rsidR="008238E6" w:rsidRDefault="00D61AB3">
            <w:pPr>
              <w:spacing w:before="120" w:after="120"/>
              <w:jc w:val="center"/>
              <w:rPr>
                <w:b/>
              </w:rPr>
            </w:pPr>
            <w:r>
              <w:t>40%</w:t>
            </w:r>
          </w:p>
        </w:tc>
        <w:tc>
          <w:tcPr>
            <w:tcW w:w="747" w:type="dxa"/>
          </w:tcPr>
          <w:p w14:paraId="4FB5EE92" w14:textId="77777777" w:rsidR="008238E6" w:rsidRDefault="00D61AB3">
            <w:pPr>
              <w:spacing w:before="120" w:after="120"/>
              <w:jc w:val="center"/>
              <w:rPr>
                <w:b/>
              </w:rPr>
            </w:pPr>
            <w:r>
              <w:t>40%</w:t>
            </w:r>
          </w:p>
        </w:tc>
        <w:tc>
          <w:tcPr>
            <w:tcW w:w="747" w:type="dxa"/>
          </w:tcPr>
          <w:p w14:paraId="4FB5EE93" w14:textId="77777777" w:rsidR="008238E6" w:rsidRDefault="00D61AB3">
            <w:pPr>
              <w:spacing w:before="120" w:after="120"/>
              <w:jc w:val="center"/>
              <w:rPr>
                <w:b/>
              </w:rPr>
            </w:pPr>
            <w:r>
              <w:t>40%</w:t>
            </w:r>
          </w:p>
        </w:tc>
      </w:tr>
      <w:tr w:rsidR="008238E6" w14:paraId="4FB5EE9B" w14:textId="77777777">
        <w:trPr>
          <w:trHeight w:val="300"/>
          <w:jc w:val="center"/>
        </w:trPr>
        <w:tc>
          <w:tcPr>
            <w:tcW w:w="2900" w:type="dxa"/>
          </w:tcPr>
          <w:p w14:paraId="4FB5EE95" w14:textId="77777777" w:rsidR="008238E6" w:rsidRDefault="00D61AB3">
            <w:pPr>
              <w:spacing w:before="120" w:after="120"/>
              <w:jc w:val="left"/>
            </w:pPr>
            <w:r>
              <w:t>Sem teste genético para diabetes MODY</w:t>
            </w:r>
          </w:p>
        </w:tc>
        <w:tc>
          <w:tcPr>
            <w:tcW w:w="747" w:type="dxa"/>
          </w:tcPr>
          <w:p w14:paraId="4FB5EE96" w14:textId="77777777" w:rsidR="008238E6" w:rsidRDefault="00D61AB3">
            <w:pPr>
              <w:spacing w:before="120" w:after="120"/>
              <w:jc w:val="center"/>
              <w:rPr>
                <w:b/>
              </w:rPr>
            </w:pPr>
            <w:r>
              <w:t>70%</w:t>
            </w:r>
          </w:p>
        </w:tc>
        <w:tc>
          <w:tcPr>
            <w:tcW w:w="747" w:type="dxa"/>
          </w:tcPr>
          <w:p w14:paraId="4FB5EE97" w14:textId="77777777" w:rsidR="008238E6" w:rsidRDefault="00D61AB3">
            <w:pPr>
              <w:spacing w:before="120" w:after="120"/>
              <w:jc w:val="center"/>
              <w:rPr>
                <w:b/>
              </w:rPr>
            </w:pPr>
            <w:r>
              <w:t>60%</w:t>
            </w:r>
          </w:p>
        </w:tc>
        <w:tc>
          <w:tcPr>
            <w:tcW w:w="747" w:type="dxa"/>
          </w:tcPr>
          <w:p w14:paraId="4FB5EE98" w14:textId="77777777" w:rsidR="008238E6" w:rsidRDefault="00D61AB3">
            <w:pPr>
              <w:spacing w:before="120" w:after="120"/>
              <w:jc w:val="center"/>
              <w:rPr>
                <w:b/>
              </w:rPr>
            </w:pPr>
            <w:r>
              <w:t>60%</w:t>
            </w:r>
          </w:p>
        </w:tc>
        <w:tc>
          <w:tcPr>
            <w:tcW w:w="747" w:type="dxa"/>
          </w:tcPr>
          <w:p w14:paraId="4FB5EE99" w14:textId="77777777" w:rsidR="008238E6" w:rsidRDefault="00D61AB3">
            <w:pPr>
              <w:spacing w:before="120" w:after="120"/>
              <w:jc w:val="center"/>
              <w:rPr>
                <w:b/>
              </w:rPr>
            </w:pPr>
            <w:r>
              <w:t>60%</w:t>
            </w:r>
          </w:p>
        </w:tc>
        <w:tc>
          <w:tcPr>
            <w:tcW w:w="747" w:type="dxa"/>
          </w:tcPr>
          <w:p w14:paraId="4FB5EE9A" w14:textId="77777777" w:rsidR="008238E6" w:rsidRDefault="00D61AB3">
            <w:pPr>
              <w:spacing w:before="120" w:after="120"/>
              <w:jc w:val="center"/>
              <w:rPr>
                <w:b/>
              </w:rPr>
            </w:pPr>
            <w:r>
              <w:t>60%</w:t>
            </w:r>
          </w:p>
        </w:tc>
      </w:tr>
    </w:tbl>
    <w:p w14:paraId="200D7C28" w14:textId="77777777" w:rsidR="00AD6AC5" w:rsidRDefault="00AD6AC5">
      <w:pPr>
        <w:pStyle w:val="Heading4"/>
        <w:rPr>
          <w:b/>
        </w:rPr>
      </w:pPr>
      <w:bookmarkStart w:id="72" w:name="_heading=h.bz4p2aiuick7" w:colFirst="0" w:colLast="0"/>
      <w:bookmarkEnd w:id="72"/>
    </w:p>
    <w:p w14:paraId="4FB5EE9D" w14:textId="6671350F" w:rsidR="008238E6" w:rsidRDefault="00D61AB3">
      <w:pPr>
        <w:pStyle w:val="Heading4"/>
      </w:pPr>
      <w:r>
        <w:rPr>
          <w:b/>
        </w:rPr>
        <w:t>Quadro 30.</w:t>
      </w:r>
      <w:r>
        <w:t xml:space="preserve">  Progressão estimada de participação no mercado apresentada pelo PARECERISTA.</w:t>
      </w:r>
    </w:p>
    <w:tbl>
      <w:tblPr>
        <w:tblStyle w:val="afffffffb"/>
        <w:tblW w:w="663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00"/>
        <w:gridCol w:w="747"/>
        <w:gridCol w:w="747"/>
        <w:gridCol w:w="747"/>
        <w:gridCol w:w="747"/>
        <w:gridCol w:w="747"/>
      </w:tblGrid>
      <w:tr w:rsidR="008238E6" w14:paraId="4FB5EEA4" w14:textId="77777777">
        <w:trPr>
          <w:trHeight w:val="300"/>
          <w:jc w:val="center"/>
        </w:trPr>
        <w:tc>
          <w:tcPr>
            <w:tcW w:w="2900" w:type="dxa"/>
            <w:shd w:val="clear" w:color="auto" w:fill="D9E2F3"/>
          </w:tcPr>
          <w:p w14:paraId="4FB5EE9E" w14:textId="77777777" w:rsidR="008238E6" w:rsidRDefault="00D61AB3">
            <w:pPr>
              <w:spacing w:before="120" w:after="120"/>
              <w:jc w:val="center"/>
              <w:rPr>
                <w:b/>
              </w:rPr>
            </w:pPr>
            <w:r>
              <w:rPr>
                <w:b/>
              </w:rPr>
              <w:t>Cenário A – atual</w:t>
            </w:r>
          </w:p>
        </w:tc>
        <w:tc>
          <w:tcPr>
            <w:tcW w:w="747" w:type="dxa"/>
            <w:shd w:val="clear" w:color="auto" w:fill="D9E2F3"/>
          </w:tcPr>
          <w:p w14:paraId="4FB5EE9F" w14:textId="77777777" w:rsidR="008238E6" w:rsidRDefault="00D61AB3">
            <w:pPr>
              <w:spacing w:before="120" w:after="120"/>
              <w:jc w:val="center"/>
              <w:rPr>
                <w:b/>
              </w:rPr>
            </w:pPr>
            <w:r>
              <w:rPr>
                <w:b/>
              </w:rPr>
              <w:t>Ano 1</w:t>
            </w:r>
          </w:p>
        </w:tc>
        <w:tc>
          <w:tcPr>
            <w:tcW w:w="747" w:type="dxa"/>
            <w:shd w:val="clear" w:color="auto" w:fill="D9E2F3"/>
          </w:tcPr>
          <w:p w14:paraId="4FB5EEA0" w14:textId="77777777" w:rsidR="008238E6" w:rsidRDefault="00D61AB3">
            <w:pPr>
              <w:spacing w:before="120" w:after="120"/>
              <w:jc w:val="center"/>
              <w:rPr>
                <w:b/>
              </w:rPr>
            </w:pPr>
            <w:r>
              <w:rPr>
                <w:b/>
              </w:rPr>
              <w:t>Ano 2</w:t>
            </w:r>
          </w:p>
        </w:tc>
        <w:tc>
          <w:tcPr>
            <w:tcW w:w="747" w:type="dxa"/>
            <w:shd w:val="clear" w:color="auto" w:fill="D9E2F3"/>
          </w:tcPr>
          <w:p w14:paraId="4FB5EEA1" w14:textId="77777777" w:rsidR="008238E6" w:rsidRDefault="00D61AB3">
            <w:pPr>
              <w:spacing w:before="120" w:after="120"/>
              <w:jc w:val="center"/>
              <w:rPr>
                <w:b/>
              </w:rPr>
            </w:pPr>
            <w:r>
              <w:rPr>
                <w:b/>
              </w:rPr>
              <w:t>Ano 3</w:t>
            </w:r>
          </w:p>
        </w:tc>
        <w:tc>
          <w:tcPr>
            <w:tcW w:w="747" w:type="dxa"/>
            <w:shd w:val="clear" w:color="auto" w:fill="D9E2F3"/>
          </w:tcPr>
          <w:p w14:paraId="4FB5EEA2" w14:textId="77777777" w:rsidR="008238E6" w:rsidRDefault="00D61AB3">
            <w:pPr>
              <w:spacing w:before="120" w:after="120"/>
              <w:jc w:val="center"/>
              <w:rPr>
                <w:b/>
              </w:rPr>
            </w:pPr>
            <w:r>
              <w:rPr>
                <w:b/>
              </w:rPr>
              <w:t>Ano 4</w:t>
            </w:r>
          </w:p>
        </w:tc>
        <w:tc>
          <w:tcPr>
            <w:tcW w:w="747" w:type="dxa"/>
            <w:shd w:val="clear" w:color="auto" w:fill="D9E2F3"/>
          </w:tcPr>
          <w:p w14:paraId="4FB5EEA3" w14:textId="77777777" w:rsidR="008238E6" w:rsidRDefault="00D61AB3">
            <w:pPr>
              <w:spacing w:before="120" w:after="120"/>
              <w:jc w:val="center"/>
              <w:rPr>
                <w:b/>
              </w:rPr>
            </w:pPr>
            <w:r>
              <w:rPr>
                <w:b/>
              </w:rPr>
              <w:t>Ano 5</w:t>
            </w:r>
          </w:p>
        </w:tc>
      </w:tr>
      <w:tr w:rsidR="008238E6" w14:paraId="4FB5EEAB" w14:textId="77777777">
        <w:trPr>
          <w:trHeight w:val="300"/>
          <w:jc w:val="center"/>
        </w:trPr>
        <w:tc>
          <w:tcPr>
            <w:tcW w:w="2900" w:type="dxa"/>
          </w:tcPr>
          <w:p w14:paraId="4FB5EEA5" w14:textId="77777777" w:rsidR="008238E6" w:rsidRDefault="00D61AB3">
            <w:pPr>
              <w:spacing w:before="120" w:after="120"/>
              <w:jc w:val="left"/>
            </w:pPr>
            <w:r>
              <w:t>Com a teste genético NGS para diabetes MODY</w:t>
            </w:r>
          </w:p>
        </w:tc>
        <w:tc>
          <w:tcPr>
            <w:tcW w:w="747" w:type="dxa"/>
          </w:tcPr>
          <w:p w14:paraId="4FB5EEA6" w14:textId="77777777" w:rsidR="008238E6" w:rsidRDefault="00D61AB3">
            <w:pPr>
              <w:spacing w:before="120" w:after="120"/>
              <w:jc w:val="center"/>
              <w:rPr>
                <w:b/>
              </w:rPr>
            </w:pPr>
            <w:r>
              <w:t>0%</w:t>
            </w:r>
          </w:p>
        </w:tc>
        <w:tc>
          <w:tcPr>
            <w:tcW w:w="747" w:type="dxa"/>
          </w:tcPr>
          <w:p w14:paraId="4FB5EEA7" w14:textId="77777777" w:rsidR="008238E6" w:rsidRDefault="00D61AB3">
            <w:pPr>
              <w:spacing w:before="120" w:after="120"/>
              <w:jc w:val="center"/>
              <w:rPr>
                <w:b/>
              </w:rPr>
            </w:pPr>
            <w:r>
              <w:t>0%</w:t>
            </w:r>
          </w:p>
        </w:tc>
        <w:tc>
          <w:tcPr>
            <w:tcW w:w="747" w:type="dxa"/>
          </w:tcPr>
          <w:p w14:paraId="4FB5EEA8" w14:textId="77777777" w:rsidR="008238E6" w:rsidRDefault="00D61AB3">
            <w:pPr>
              <w:spacing w:before="120" w:after="120"/>
              <w:jc w:val="center"/>
              <w:rPr>
                <w:b/>
              </w:rPr>
            </w:pPr>
            <w:r>
              <w:t>0%</w:t>
            </w:r>
          </w:p>
        </w:tc>
        <w:tc>
          <w:tcPr>
            <w:tcW w:w="747" w:type="dxa"/>
          </w:tcPr>
          <w:p w14:paraId="4FB5EEA9" w14:textId="77777777" w:rsidR="008238E6" w:rsidRDefault="00D61AB3">
            <w:pPr>
              <w:spacing w:before="120" w:after="120"/>
              <w:jc w:val="center"/>
              <w:rPr>
                <w:b/>
              </w:rPr>
            </w:pPr>
            <w:r>
              <w:t>0%</w:t>
            </w:r>
          </w:p>
        </w:tc>
        <w:tc>
          <w:tcPr>
            <w:tcW w:w="747" w:type="dxa"/>
          </w:tcPr>
          <w:p w14:paraId="4FB5EEAA" w14:textId="77777777" w:rsidR="008238E6" w:rsidRDefault="00D61AB3">
            <w:pPr>
              <w:spacing w:before="120" w:after="120"/>
              <w:jc w:val="center"/>
              <w:rPr>
                <w:b/>
              </w:rPr>
            </w:pPr>
            <w:r>
              <w:t>0%</w:t>
            </w:r>
          </w:p>
        </w:tc>
      </w:tr>
      <w:tr w:rsidR="008238E6" w14:paraId="4FB5EEB2" w14:textId="77777777">
        <w:trPr>
          <w:trHeight w:val="300"/>
          <w:jc w:val="center"/>
        </w:trPr>
        <w:tc>
          <w:tcPr>
            <w:tcW w:w="2900" w:type="dxa"/>
          </w:tcPr>
          <w:p w14:paraId="4FB5EEAC" w14:textId="03DC27C0" w:rsidR="008238E6" w:rsidRDefault="00D61AB3">
            <w:pPr>
              <w:spacing w:before="120" w:after="120"/>
              <w:jc w:val="left"/>
            </w:pPr>
            <w:r>
              <w:t>Sem teste genético para diabetes MODY</w:t>
            </w:r>
          </w:p>
        </w:tc>
        <w:tc>
          <w:tcPr>
            <w:tcW w:w="747" w:type="dxa"/>
          </w:tcPr>
          <w:p w14:paraId="4FB5EEAD" w14:textId="77777777" w:rsidR="008238E6" w:rsidRDefault="00D61AB3">
            <w:pPr>
              <w:spacing w:before="120" w:after="120"/>
              <w:jc w:val="center"/>
            </w:pPr>
            <w:r>
              <w:t>100%</w:t>
            </w:r>
          </w:p>
        </w:tc>
        <w:tc>
          <w:tcPr>
            <w:tcW w:w="747" w:type="dxa"/>
          </w:tcPr>
          <w:p w14:paraId="4FB5EEAE" w14:textId="77777777" w:rsidR="008238E6" w:rsidRDefault="00D61AB3">
            <w:pPr>
              <w:spacing w:before="120" w:after="120"/>
              <w:jc w:val="center"/>
            </w:pPr>
            <w:r>
              <w:t>100%</w:t>
            </w:r>
          </w:p>
        </w:tc>
        <w:tc>
          <w:tcPr>
            <w:tcW w:w="747" w:type="dxa"/>
          </w:tcPr>
          <w:p w14:paraId="4FB5EEAF" w14:textId="77777777" w:rsidR="008238E6" w:rsidRDefault="00D61AB3">
            <w:pPr>
              <w:spacing w:before="120" w:after="120"/>
              <w:jc w:val="center"/>
            </w:pPr>
            <w:r>
              <w:t>100%</w:t>
            </w:r>
          </w:p>
        </w:tc>
        <w:tc>
          <w:tcPr>
            <w:tcW w:w="747" w:type="dxa"/>
          </w:tcPr>
          <w:p w14:paraId="4FB5EEB0" w14:textId="77777777" w:rsidR="008238E6" w:rsidRDefault="00D61AB3">
            <w:pPr>
              <w:spacing w:before="120" w:after="120"/>
              <w:jc w:val="center"/>
            </w:pPr>
            <w:r>
              <w:t>100%</w:t>
            </w:r>
          </w:p>
        </w:tc>
        <w:tc>
          <w:tcPr>
            <w:tcW w:w="747" w:type="dxa"/>
          </w:tcPr>
          <w:p w14:paraId="4FB5EEB1" w14:textId="77777777" w:rsidR="008238E6" w:rsidRDefault="00D61AB3">
            <w:pPr>
              <w:spacing w:before="120" w:after="120"/>
              <w:jc w:val="center"/>
            </w:pPr>
            <w:r>
              <w:t>100%</w:t>
            </w:r>
          </w:p>
        </w:tc>
      </w:tr>
      <w:tr w:rsidR="008238E6" w14:paraId="4FB5EEB9" w14:textId="77777777">
        <w:trPr>
          <w:trHeight w:val="300"/>
          <w:jc w:val="center"/>
        </w:trPr>
        <w:tc>
          <w:tcPr>
            <w:tcW w:w="2900" w:type="dxa"/>
          </w:tcPr>
          <w:p w14:paraId="4FB5EEB3" w14:textId="77777777" w:rsidR="008238E6" w:rsidRDefault="00D61AB3">
            <w:pPr>
              <w:spacing w:before="120" w:after="120"/>
              <w:jc w:val="center"/>
              <w:rPr>
                <w:b/>
              </w:rPr>
            </w:pPr>
            <w:r>
              <w:rPr>
                <w:b/>
              </w:rPr>
              <w:t>Cenário B – projetado</w:t>
            </w:r>
          </w:p>
        </w:tc>
        <w:tc>
          <w:tcPr>
            <w:tcW w:w="747" w:type="dxa"/>
          </w:tcPr>
          <w:p w14:paraId="4FB5EEB4" w14:textId="77777777" w:rsidR="008238E6" w:rsidRDefault="00D61AB3">
            <w:pPr>
              <w:spacing w:before="120" w:after="120"/>
              <w:jc w:val="center"/>
              <w:rPr>
                <w:b/>
              </w:rPr>
            </w:pPr>
            <w:r>
              <w:rPr>
                <w:b/>
              </w:rPr>
              <w:t>Ano 1</w:t>
            </w:r>
          </w:p>
        </w:tc>
        <w:tc>
          <w:tcPr>
            <w:tcW w:w="747" w:type="dxa"/>
          </w:tcPr>
          <w:p w14:paraId="4FB5EEB5" w14:textId="77777777" w:rsidR="008238E6" w:rsidRDefault="00D61AB3">
            <w:pPr>
              <w:spacing w:before="120" w:after="120"/>
              <w:jc w:val="center"/>
              <w:rPr>
                <w:b/>
              </w:rPr>
            </w:pPr>
            <w:r>
              <w:rPr>
                <w:b/>
              </w:rPr>
              <w:t>Ano 2</w:t>
            </w:r>
          </w:p>
        </w:tc>
        <w:tc>
          <w:tcPr>
            <w:tcW w:w="747" w:type="dxa"/>
          </w:tcPr>
          <w:p w14:paraId="4FB5EEB6" w14:textId="77777777" w:rsidR="008238E6" w:rsidRDefault="00D61AB3">
            <w:pPr>
              <w:spacing w:before="120" w:after="120"/>
              <w:jc w:val="center"/>
              <w:rPr>
                <w:b/>
              </w:rPr>
            </w:pPr>
            <w:r>
              <w:rPr>
                <w:b/>
              </w:rPr>
              <w:t>Ano 3</w:t>
            </w:r>
          </w:p>
        </w:tc>
        <w:tc>
          <w:tcPr>
            <w:tcW w:w="747" w:type="dxa"/>
          </w:tcPr>
          <w:p w14:paraId="4FB5EEB7" w14:textId="77777777" w:rsidR="008238E6" w:rsidRDefault="00D61AB3">
            <w:pPr>
              <w:spacing w:before="120" w:after="120"/>
              <w:jc w:val="center"/>
              <w:rPr>
                <w:b/>
              </w:rPr>
            </w:pPr>
            <w:r>
              <w:rPr>
                <w:b/>
              </w:rPr>
              <w:t>Ano 4</w:t>
            </w:r>
          </w:p>
        </w:tc>
        <w:tc>
          <w:tcPr>
            <w:tcW w:w="747" w:type="dxa"/>
          </w:tcPr>
          <w:p w14:paraId="4FB5EEB8" w14:textId="77777777" w:rsidR="008238E6" w:rsidRDefault="00D61AB3">
            <w:pPr>
              <w:spacing w:before="120" w:after="120"/>
              <w:jc w:val="center"/>
              <w:rPr>
                <w:b/>
              </w:rPr>
            </w:pPr>
            <w:r>
              <w:rPr>
                <w:b/>
              </w:rPr>
              <w:t>Ano 5</w:t>
            </w:r>
          </w:p>
        </w:tc>
      </w:tr>
      <w:tr w:rsidR="008238E6" w14:paraId="4FB5EEC0" w14:textId="77777777">
        <w:trPr>
          <w:trHeight w:val="300"/>
          <w:jc w:val="center"/>
        </w:trPr>
        <w:tc>
          <w:tcPr>
            <w:tcW w:w="2900" w:type="dxa"/>
          </w:tcPr>
          <w:p w14:paraId="4FB5EEBA" w14:textId="77777777" w:rsidR="008238E6" w:rsidRDefault="00D61AB3">
            <w:pPr>
              <w:spacing w:before="120" w:after="120"/>
              <w:jc w:val="left"/>
            </w:pPr>
            <w:r>
              <w:t>Com a teste genético NGS para diabetes MODY</w:t>
            </w:r>
          </w:p>
        </w:tc>
        <w:tc>
          <w:tcPr>
            <w:tcW w:w="747" w:type="dxa"/>
          </w:tcPr>
          <w:p w14:paraId="4FB5EEBB" w14:textId="77777777" w:rsidR="008238E6" w:rsidRDefault="00D61AB3">
            <w:pPr>
              <w:pBdr>
                <w:top w:val="nil"/>
                <w:left w:val="nil"/>
                <w:bottom w:val="nil"/>
                <w:right w:val="nil"/>
                <w:between w:val="nil"/>
              </w:pBdr>
              <w:spacing w:before="120" w:after="120"/>
              <w:jc w:val="center"/>
            </w:pPr>
            <w:r>
              <w:t>30%</w:t>
            </w:r>
          </w:p>
        </w:tc>
        <w:tc>
          <w:tcPr>
            <w:tcW w:w="747" w:type="dxa"/>
          </w:tcPr>
          <w:p w14:paraId="4FB5EEBC" w14:textId="77777777" w:rsidR="008238E6" w:rsidRDefault="00D61AB3">
            <w:pPr>
              <w:pBdr>
                <w:top w:val="nil"/>
                <w:left w:val="nil"/>
                <w:bottom w:val="nil"/>
                <w:right w:val="nil"/>
                <w:between w:val="nil"/>
              </w:pBdr>
              <w:spacing w:before="120" w:after="120"/>
              <w:jc w:val="center"/>
            </w:pPr>
            <w:r>
              <w:t>40%</w:t>
            </w:r>
          </w:p>
        </w:tc>
        <w:tc>
          <w:tcPr>
            <w:tcW w:w="747" w:type="dxa"/>
          </w:tcPr>
          <w:p w14:paraId="4FB5EEBD" w14:textId="77777777" w:rsidR="008238E6" w:rsidRDefault="00D61AB3">
            <w:pPr>
              <w:pBdr>
                <w:top w:val="nil"/>
                <w:left w:val="nil"/>
                <w:bottom w:val="nil"/>
                <w:right w:val="nil"/>
                <w:between w:val="nil"/>
              </w:pBdr>
              <w:spacing w:before="120" w:after="120"/>
              <w:jc w:val="center"/>
            </w:pPr>
            <w:r>
              <w:t>50%</w:t>
            </w:r>
          </w:p>
        </w:tc>
        <w:tc>
          <w:tcPr>
            <w:tcW w:w="747" w:type="dxa"/>
          </w:tcPr>
          <w:p w14:paraId="4FB5EEBE" w14:textId="77777777" w:rsidR="008238E6" w:rsidRDefault="00D61AB3">
            <w:pPr>
              <w:pBdr>
                <w:top w:val="nil"/>
                <w:left w:val="nil"/>
                <w:bottom w:val="nil"/>
                <w:right w:val="nil"/>
                <w:between w:val="nil"/>
              </w:pBdr>
              <w:spacing w:before="120" w:after="120"/>
              <w:jc w:val="center"/>
            </w:pPr>
            <w:r>
              <w:t>60%</w:t>
            </w:r>
          </w:p>
        </w:tc>
        <w:tc>
          <w:tcPr>
            <w:tcW w:w="747" w:type="dxa"/>
          </w:tcPr>
          <w:p w14:paraId="4FB5EEBF" w14:textId="77777777" w:rsidR="008238E6" w:rsidRDefault="00D61AB3">
            <w:pPr>
              <w:pBdr>
                <w:top w:val="nil"/>
                <w:left w:val="nil"/>
                <w:bottom w:val="nil"/>
                <w:right w:val="nil"/>
                <w:between w:val="nil"/>
              </w:pBdr>
              <w:spacing w:before="120" w:after="120"/>
              <w:jc w:val="center"/>
            </w:pPr>
            <w:r>
              <w:t>70%</w:t>
            </w:r>
          </w:p>
        </w:tc>
      </w:tr>
      <w:tr w:rsidR="008238E6" w14:paraId="4FB5EEC7" w14:textId="77777777">
        <w:trPr>
          <w:trHeight w:val="300"/>
          <w:jc w:val="center"/>
        </w:trPr>
        <w:tc>
          <w:tcPr>
            <w:tcW w:w="2900" w:type="dxa"/>
          </w:tcPr>
          <w:p w14:paraId="4FB5EEC1" w14:textId="2FED9744" w:rsidR="008238E6" w:rsidRDefault="00D61AB3">
            <w:pPr>
              <w:spacing w:before="120" w:after="120"/>
              <w:jc w:val="left"/>
            </w:pPr>
            <w:r>
              <w:t>Sem teste genético para diabetes MODY</w:t>
            </w:r>
          </w:p>
        </w:tc>
        <w:tc>
          <w:tcPr>
            <w:tcW w:w="747" w:type="dxa"/>
          </w:tcPr>
          <w:p w14:paraId="4FB5EEC2" w14:textId="77777777" w:rsidR="008238E6" w:rsidRDefault="00D61AB3">
            <w:pPr>
              <w:pBdr>
                <w:top w:val="nil"/>
                <w:left w:val="nil"/>
                <w:bottom w:val="nil"/>
                <w:right w:val="nil"/>
                <w:between w:val="nil"/>
              </w:pBdr>
              <w:spacing w:before="120" w:after="120"/>
              <w:jc w:val="center"/>
            </w:pPr>
            <w:r>
              <w:t>70%</w:t>
            </w:r>
          </w:p>
        </w:tc>
        <w:tc>
          <w:tcPr>
            <w:tcW w:w="747" w:type="dxa"/>
          </w:tcPr>
          <w:p w14:paraId="4FB5EEC3" w14:textId="77777777" w:rsidR="008238E6" w:rsidRDefault="00D61AB3">
            <w:pPr>
              <w:pBdr>
                <w:top w:val="nil"/>
                <w:left w:val="nil"/>
                <w:bottom w:val="nil"/>
                <w:right w:val="nil"/>
                <w:between w:val="nil"/>
              </w:pBdr>
              <w:spacing w:before="120" w:after="120"/>
              <w:jc w:val="center"/>
            </w:pPr>
            <w:r>
              <w:t>60%</w:t>
            </w:r>
          </w:p>
        </w:tc>
        <w:tc>
          <w:tcPr>
            <w:tcW w:w="747" w:type="dxa"/>
          </w:tcPr>
          <w:p w14:paraId="4FB5EEC4" w14:textId="77777777" w:rsidR="008238E6" w:rsidRDefault="00D61AB3">
            <w:pPr>
              <w:pBdr>
                <w:top w:val="nil"/>
                <w:left w:val="nil"/>
                <w:bottom w:val="nil"/>
                <w:right w:val="nil"/>
                <w:between w:val="nil"/>
              </w:pBdr>
              <w:spacing w:before="120" w:after="120"/>
              <w:jc w:val="center"/>
            </w:pPr>
            <w:r>
              <w:t>50%</w:t>
            </w:r>
          </w:p>
        </w:tc>
        <w:tc>
          <w:tcPr>
            <w:tcW w:w="747" w:type="dxa"/>
          </w:tcPr>
          <w:p w14:paraId="4FB5EEC5" w14:textId="77777777" w:rsidR="008238E6" w:rsidRDefault="00D61AB3">
            <w:pPr>
              <w:pBdr>
                <w:top w:val="nil"/>
                <w:left w:val="nil"/>
                <w:bottom w:val="nil"/>
                <w:right w:val="nil"/>
                <w:between w:val="nil"/>
              </w:pBdr>
              <w:spacing w:before="120" w:after="120"/>
              <w:jc w:val="center"/>
            </w:pPr>
            <w:r>
              <w:t>40%</w:t>
            </w:r>
          </w:p>
        </w:tc>
        <w:tc>
          <w:tcPr>
            <w:tcW w:w="747" w:type="dxa"/>
          </w:tcPr>
          <w:p w14:paraId="4FB5EEC6" w14:textId="77777777" w:rsidR="008238E6" w:rsidRDefault="00D61AB3">
            <w:pPr>
              <w:pBdr>
                <w:top w:val="nil"/>
                <w:left w:val="nil"/>
                <w:bottom w:val="nil"/>
                <w:right w:val="nil"/>
                <w:between w:val="nil"/>
              </w:pBdr>
              <w:spacing w:before="120" w:after="120"/>
              <w:jc w:val="center"/>
            </w:pPr>
            <w:r>
              <w:t>30%</w:t>
            </w:r>
          </w:p>
        </w:tc>
      </w:tr>
    </w:tbl>
    <w:tbl>
      <w:tblPr>
        <w:tblStyle w:val="afffffffc"/>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EECC" w14:textId="77777777">
        <w:trPr>
          <w:trHeight w:val="416"/>
        </w:trPr>
        <w:tc>
          <w:tcPr>
            <w:tcW w:w="9072" w:type="dxa"/>
            <w:shd w:val="clear" w:color="auto" w:fill="D9E2F3"/>
            <w:vAlign w:val="center"/>
          </w:tcPr>
          <w:p w14:paraId="4FB5EECB" w14:textId="77777777" w:rsidR="008238E6" w:rsidRDefault="00D61AB3">
            <w:pPr>
              <w:spacing w:before="120" w:after="120"/>
              <w:jc w:val="center"/>
              <w:rPr>
                <w:b/>
              </w:rPr>
            </w:pPr>
            <w:r>
              <w:rPr>
                <w:b/>
              </w:rPr>
              <w:t>Comentários adicionais sobre a progressão estimada de participação no mercado apresentada pelo PROPONENTE</w:t>
            </w:r>
          </w:p>
        </w:tc>
      </w:tr>
      <w:tr w:rsidR="008238E6" w14:paraId="4FB5EECF" w14:textId="77777777">
        <w:trPr>
          <w:trHeight w:val="750"/>
        </w:trPr>
        <w:tc>
          <w:tcPr>
            <w:tcW w:w="9072" w:type="dxa"/>
            <w:vAlign w:val="center"/>
          </w:tcPr>
          <w:p w14:paraId="4FB5EECD" w14:textId="77777777" w:rsidR="008238E6" w:rsidRDefault="00D61AB3">
            <w:pPr>
              <w:pBdr>
                <w:top w:val="nil"/>
                <w:left w:val="nil"/>
                <w:bottom w:val="nil"/>
                <w:right w:val="nil"/>
                <w:between w:val="nil"/>
              </w:pBdr>
              <w:spacing w:before="200" w:after="200"/>
            </w:pPr>
            <w:r>
              <w:t xml:space="preserve">O PROPONENTE apresentou proposta de market share mais conservadora, onde prevê que o teste chegaria a ser realizado em 40% da população de pacientes suspeitos de diabetes tipo MODY em 5 anos. </w:t>
            </w:r>
          </w:p>
          <w:p w14:paraId="4FB5EECE" w14:textId="058829BD" w:rsidR="008238E6" w:rsidRDefault="00D61AB3">
            <w:pPr>
              <w:pBdr>
                <w:top w:val="nil"/>
                <w:left w:val="nil"/>
                <w:bottom w:val="nil"/>
                <w:right w:val="nil"/>
                <w:between w:val="nil"/>
              </w:pBdr>
              <w:spacing w:before="200" w:after="200"/>
            </w:pPr>
            <w:r>
              <w:t xml:space="preserve">O PARECERISTA apresenta proposta mais agressiva, onde espera que, se incorporado no rol, cerca de 70% dos pacientes suspeitos de diabetes tipo MODY estariam testados geneticamente ao final de 5 anos. </w:t>
            </w:r>
          </w:p>
        </w:tc>
      </w:tr>
    </w:tbl>
    <w:p w14:paraId="4FB5EED0" w14:textId="77777777" w:rsidR="008238E6" w:rsidRDefault="008238E6"/>
    <w:p w14:paraId="4FB5EED1" w14:textId="77777777" w:rsidR="008238E6" w:rsidRDefault="00D61AB3">
      <w:pPr>
        <w:pStyle w:val="Heading2"/>
      </w:pPr>
      <w:bookmarkStart w:id="73" w:name="_heading=h.4k668n3" w:colFirst="0" w:colLast="0"/>
      <w:bookmarkEnd w:id="73"/>
      <w:r>
        <w:t>7.2 Resultados</w:t>
      </w:r>
    </w:p>
    <w:p w14:paraId="4FB5EED2" w14:textId="77777777" w:rsidR="008238E6" w:rsidRDefault="00D61AB3">
      <w:r>
        <w:t>Após a análise crítica, a AIO apresentada pelo PROPONENTE foi considerada:</w:t>
      </w:r>
    </w:p>
    <w:p w14:paraId="4FB5EED3" w14:textId="77777777" w:rsidR="008238E6" w:rsidRDefault="00D61AB3">
      <w:r>
        <w:t>( ) Adequada (robusta e confiável). A mesma AIO foi reproduzida na planilha padrão da ANS, obtendo-se os resultados apresentados a seguir.</w:t>
      </w:r>
    </w:p>
    <w:p w14:paraId="4FB5EED4" w14:textId="77777777" w:rsidR="008238E6" w:rsidRDefault="00D61AB3">
      <w:r>
        <w:t>( x ) Inadequada. Uma nova AIO com ajustes metodológicos foi elaborada, obtendo-se os resultados apresentados a seguir.</w:t>
      </w:r>
    </w:p>
    <w:p w14:paraId="4FB5EED5" w14:textId="77777777" w:rsidR="008238E6" w:rsidRDefault="008238E6"/>
    <w:tbl>
      <w:tblPr>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072"/>
      </w:tblGrid>
      <w:tr w:rsidR="00754A1C" w14:paraId="4FB5EED7" w14:textId="77777777">
        <w:trPr>
          <w:trHeight w:val="416"/>
        </w:trPr>
        <w:tc>
          <w:tcPr>
            <w:tcW w:w="9072" w:type="dxa"/>
            <w:shd w:val="clear" w:color="auto" w:fill="D9E2F3"/>
            <w:vAlign w:val="center"/>
          </w:tcPr>
          <w:p w14:paraId="4FB5EED6" w14:textId="77777777" w:rsidR="008238E6" w:rsidRDefault="00D61AB3">
            <w:pPr>
              <w:spacing w:before="120" w:after="120"/>
              <w:jc w:val="center"/>
              <w:rPr>
                <w:b/>
              </w:rPr>
            </w:pPr>
            <w:r>
              <w:rPr>
                <w:b/>
              </w:rPr>
              <w:t>Comentários principais sobre a AIO apresentada pelo PROPONENTE</w:t>
            </w:r>
          </w:p>
        </w:tc>
      </w:tr>
      <w:tr w:rsidR="008238E6" w14:paraId="4FB5EEE0" w14:textId="77777777">
        <w:trPr>
          <w:trHeight w:val="750"/>
        </w:trPr>
        <w:tc>
          <w:tcPr>
            <w:tcW w:w="9072" w:type="dxa"/>
            <w:vAlign w:val="center"/>
          </w:tcPr>
          <w:p w14:paraId="4FB5EED8" w14:textId="77777777" w:rsidR="008238E6" w:rsidRDefault="00D61AB3">
            <w:pPr>
              <w:shd w:val="clear" w:color="auto" w:fill="FFFFFF"/>
              <w:spacing w:before="200" w:after="200"/>
            </w:pPr>
            <w:r>
              <w:t>Em resumo, a planilha de impacto orçamentário do PROPONENTE não apresenta validade interna, pelos seguintes motivos principais:</w:t>
            </w:r>
          </w:p>
          <w:p w14:paraId="4FB5EED9" w14:textId="77777777" w:rsidR="008238E6" w:rsidRDefault="00D61AB3">
            <w:pPr>
              <w:numPr>
                <w:ilvl w:val="0"/>
                <w:numId w:val="1"/>
              </w:numPr>
              <w:shd w:val="clear" w:color="auto" w:fill="FFFFFF"/>
              <w:spacing w:before="200"/>
              <w:ind w:left="940"/>
            </w:pPr>
            <w:r>
              <w:t>Falta de detalhamento e transparência nos métodos e dados utilizados.</w:t>
            </w:r>
          </w:p>
          <w:p w14:paraId="4FB5EEDA" w14:textId="77777777" w:rsidR="008238E6" w:rsidRDefault="00D61AB3">
            <w:pPr>
              <w:numPr>
                <w:ilvl w:val="0"/>
                <w:numId w:val="1"/>
              </w:numPr>
              <w:shd w:val="clear" w:color="auto" w:fill="FFFFFF"/>
              <w:spacing w:before="0"/>
              <w:ind w:left="940"/>
            </w:pPr>
            <w:r>
              <w:t>Omissões críticas na quantificação dos custos de tratamentos.</w:t>
            </w:r>
          </w:p>
          <w:p w14:paraId="4FB5EEDB" w14:textId="77777777" w:rsidR="008238E6" w:rsidRDefault="00D61AB3">
            <w:pPr>
              <w:numPr>
                <w:ilvl w:val="0"/>
                <w:numId w:val="1"/>
              </w:numPr>
              <w:shd w:val="clear" w:color="auto" w:fill="FFFFFF"/>
              <w:spacing w:before="0"/>
              <w:ind w:left="940"/>
            </w:pPr>
            <w:r>
              <w:t>Utilização de dados desatualizados, inacessíveis ou inadequados.</w:t>
            </w:r>
          </w:p>
          <w:p w14:paraId="4FB5EEDC" w14:textId="77777777" w:rsidR="008238E6" w:rsidRDefault="00D61AB3">
            <w:pPr>
              <w:numPr>
                <w:ilvl w:val="0"/>
                <w:numId w:val="1"/>
              </w:numPr>
              <w:shd w:val="clear" w:color="auto" w:fill="FFFFFF"/>
              <w:spacing w:before="0" w:after="200"/>
              <w:ind w:left="940"/>
            </w:pPr>
            <w:r>
              <w:t>Confusão e falta de clareza na apresentação das estimativas de prevalência e impactos financeiros.</w:t>
            </w:r>
          </w:p>
          <w:p w14:paraId="4FB5EEDE" w14:textId="7C773BFC" w:rsidR="008238E6" w:rsidRDefault="00D61AB3">
            <w:pPr>
              <w:shd w:val="clear" w:color="auto" w:fill="FFFFFF"/>
              <w:spacing w:before="200" w:after="200"/>
            </w:pPr>
            <w:r>
              <w:t>Essas deficiências comprometem seriamente a confiabilidade e a utilidade da AIO para a tomada de decisões informadas sobre a inclusão do teste genético para MODY no rol de procedimentos.</w:t>
            </w:r>
          </w:p>
          <w:p w14:paraId="4FB5EEDF" w14:textId="77777777" w:rsidR="008238E6" w:rsidRDefault="00D61AB3">
            <w:pPr>
              <w:shd w:val="clear" w:color="auto" w:fill="FFFFFF"/>
              <w:spacing w:before="200" w:after="200"/>
            </w:pPr>
            <w:r>
              <w:t>Considerando-se as limitações apontadas na análise realizada pelo PROPONENTE, é provável que o cálculo do impacto orçamentário esteja impreciso. Por este motivo foi realizada uma nova análise de impacto orçamentário na planilha padrão da ANS, utilizando como parâmetros e fontes de dados os disponíveis no Quadro 27 (quarta coluna).</w:t>
            </w:r>
          </w:p>
        </w:tc>
      </w:tr>
    </w:tbl>
    <w:p w14:paraId="4FB5EEE1" w14:textId="77777777" w:rsidR="008238E6" w:rsidRDefault="008238E6"/>
    <w:p w14:paraId="4FB5EEE2" w14:textId="77777777" w:rsidR="008238E6" w:rsidRDefault="00D61AB3">
      <w:pPr>
        <w:pStyle w:val="Heading4"/>
      </w:pPr>
      <w:bookmarkStart w:id="74" w:name="_heading=h.d9bxi44c8mbb" w:colFirst="0" w:colLast="0"/>
      <w:bookmarkEnd w:id="74"/>
      <w:r>
        <w:rPr>
          <w:b/>
        </w:rPr>
        <w:t>Quadro 31.</w:t>
      </w:r>
      <w:r>
        <w:t xml:space="preserve"> Resumo dos resultados da AIO.</w:t>
      </w:r>
    </w:p>
    <w:tbl>
      <w:tblPr>
        <w:tblStyle w:val="afffffffe"/>
        <w:tblW w:w="92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4"/>
        <w:gridCol w:w="2527"/>
        <w:gridCol w:w="2648"/>
        <w:gridCol w:w="2409"/>
      </w:tblGrid>
      <w:tr w:rsidR="008238E6" w14:paraId="4FB5EEE7" w14:textId="77777777" w:rsidTr="3EF7B8AA">
        <w:trPr>
          <w:trHeight w:val="454"/>
          <w:jc w:val="center"/>
        </w:trPr>
        <w:tc>
          <w:tcPr>
            <w:tcW w:w="1634" w:type="dxa"/>
            <w:shd w:val="clear" w:color="auto" w:fill="D9E2F3"/>
          </w:tcPr>
          <w:p w14:paraId="4FB5EEE3" w14:textId="77777777" w:rsidR="008238E6" w:rsidRDefault="00D61AB3">
            <w:pPr>
              <w:spacing w:before="120" w:after="120"/>
              <w:jc w:val="center"/>
              <w:rPr>
                <w:b/>
              </w:rPr>
            </w:pPr>
            <w:r>
              <w:rPr>
                <w:b/>
              </w:rPr>
              <w:t>Critério</w:t>
            </w:r>
          </w:p>
        </w:tc>
        <w:tc>
          <w:tcPr>
            <w:tcW w:w="2527" w:type="dxa"/>
            <w:shd w:val="clear" w:color="auto" w:fill="D9E2F3"/>
          </w:tcPr>
          <w:p w14:paraId="4FB5EEE4" w14:textId="77777777" w:rsidR="008238E6" w:rsidRDefault="00D61AB3">
            <w:pPr>
              <w:spacing w:before="120" w:after="120"/>
              <w:jc w:val="center"/>
              <w:rPr>
                <w:b/>
              </w:rPr>
            </w:pPr>
            <w:r>
              <w:rPr>
                <w:b/>
              </w:rPr>
              <w:t>AIO Proponente</w:t>
            </w:r>
          </w:p>
        </w:tc>
        <w:tc>
          <w:tcPr>
            <w:tcW w:w="2648" w:type="dxa"/>
            <w:shd w:val="clear" w:color="auto" w:fill="D9E2F3"/>
          </w:tcPr>
          <w:p w14:paraId="4FB5EEE5" w14:textId="77777777" w:rsidR="008238E6" w:rsidRDefault="00D61AB3">
            <w:pPr>
              <w:spacing w:before="120" w:after="120"/>
              <w:jc w:val="center"/>
              <w:rPr>
                <w:b/>
              </w:rPr>
            </w:pPr>
            <w:r>
              <w:rPr>
                <w:b/>
              </w:rPr>
              <w:t>Comentário sobre a AIO proponente</w:t>
            </w:r>
          </w:p>
        </w:tc>
        <w:tc>
          <w:tcPr>
            <w:tcW w:w="2409" w:type="dxa"/>
            <w:shd w:val="clear" w:color="auto" w:fill="D9E2F3"/>
          </w:tcPr>
          <w:p w14:paraId="4FB5EEE6" w14:textId="77777777" w:rsidR="008238E6" w:rsidRDefault="00D61AB3">
            <w:pPr>
              <w:spacing w:before="120" w:after="120"/>
              <w:jc w:val="center"/>
              <w:rPr>
                <w:b/>
              </w:rPr>
            </w:pPr>
            <w:r>
              <w:rPr>
                <w:b/>
              </w:rPr>
              <w:t>AIO do relatório</w:t>
            </w:r>
          </w:p>
        </w:tc>
      </w:tr>
      <w:tr w:rsidR="008238E6" w14:paraId="4FB5EEFA" w14:textId="77777777" w:rsidTr="3EF7B8AA">
        <w:trPr>
          <w:trHeight w:val="454"/>
          <w:jc w:val="center"/>
        </w:trPr>
        <w:tc>
          <w:tcPr>
            <w:tcW w:w="1634" w:type="dxa"/>
            <w:shd w:val="clear" w:color="auto" w:fill="auto"/>
          </w:tcPr>
          <w:p w14:paraId="4FB5EEE8" w14:textId="77777777" w:rsidR="008238E6" w:rsidRDefault="00D61AB3">
            <w:pPr>
              <w:spacing w:before="120" w:after="120"/>
              <w:jc w:val="center"/>
              <w:rPr>
                <w:b/>
              </w:rPr>
            </w:pPr>
            <w:r>
              <w:rPr>
                <w:b/>
                <w:color w:val="000000"/>
              </w:rPr>
              <w:t>Impacto por cenário</w:t>
            </w:r>
          </w:p>
        </w:tc>
        <w:tc>
          <w:tcPr>
            <w:tcW w:w="2527" w:type="dxa"/>
            <w:shd w:val="clear" w:color="auto" w:fill="auto"/>
          </w:tcPr>
          <w:p w14:paraId="4FB5EEE9" w14:textId="77777777" w:rsidR="008238E6" w:rsidRDefault="00D61AB3">
            <w:pPr>
              <w:spacing w:before="120" w:after="120"/>
            </w:pPr>
            <w:r>
              <w:t>Impacto acumulado em 5 anos:</w:t>
            </w:r>
          </w:p>
          <w:p w14:paraId="4FB5EEEA" w14:textId="77777777" w:rsidR="008238E6" w:rsidRDefault="00D61AB3">
            <w:pPr>
              <w:spacing w:before="120" w:after="120"/>
            </w:pPr>
            <w:r>
              <w:t>Cenário de referência:</w:t>
            </w:r>
          </w:p>
          <w:p w14:paraId="4FB5EEEB" w14:textId="77777777" w:rsidR="008238E6" w:rsidRDefault="00D61AB3">
            <w:pPr>
              <w:spacing w:before="120" w:after="120"/>
            </w:pPr>
            <w:r>
              <w:t>R$ 11.151.778,50</w:t>
            </w:r>
          </w:p>
          <w:p w14:paraId="4FB5EEEC" w14:textId="77777777" w:rsidR="008238E6" w:rsidRDefault="00D61AB3">
            <w:pPr>
              <w:spacing w:before="120" w:after="120"/>
            </w:pPr>
            <w:r>
              <w:t>Cenário projetado:</w:t>
            </w:r>
          </w:p>
          <w:p w14:paraId="4FB5EEED" w14:textId="77777777" w:rsidR="008238E6" w:rsidRDefault="00D61AB3">
            <w:pPr>
              <w:spacing w:before="120" w:after="120"/>
              <w:rPr>
                <w:highlight w:val="lightGray"/>
              </w:rPr>
            </w:pPr>
            <w:r>
              <w:t xml:space="preserve">R$ 161.856.208,59 </w:t>
            </w:r>
          </w:p>
        </w:tc>
        <w:tc>
          <w:tcPr>
            <w:tcW w:w="2648" w:type="dxa"/>
          </w:tcPr>
          <w:p w14:paraId="4FB5EEEE" w14:textId="77777777" w:rsidR="008238E6" w:rsidRDefault="00D61AB3">
            <w:pPr>
              <w:spacing w:before="120" w:after="120"/>
              <w:jc w:val="center"/>
              <w:rPr>
                <w:i/>
                <w:color w:val="FF0000"/>
              </w:rPr>
            </w:pPr>
            <w:r>
              <w:t>Parcialmente adequado</w:t>
            </w:r>
          </w:p>
        </w:tc>
        <w:tc>
          <w:tcPr>
            <w:tcW w:w="2409" w:type="dxa"/>
          </w:tcPr>
          <w:p w14:paraId="4FB5EEEF" w14:textId="4FBB0393" w:rsidR="008238E6" w:rsidRDefault="00D61AB3">
            <w:pPr>
              <w:spacing w:before="120" w:after="120"/>
            </w:pPr>
            <w:r>
              <w:t>Impacto acumulado em 5 anos:</w:t>
            </w:r>
          </w:p>
          <w:p w14:paraId="4FB5EEF0" w14:textId="77777777" w:rsidR="008238E6" w:rsidRDefault="00D61AB3">
            <w:pPr>
              <w:spacing w:before="120" w:after="120"/>
            </w:pPr>
            <w:r>
              <w:t>Cenário de referência:</w:t>
            </w:r>
          </w:p>
          <w:p w14:paraId="4FB5EEF1" w14:textId="6872A19E" w:rsidR="008238E6" w:rsidRDefault="00D61AB3">
            <w:pPr>
              <w:spacing w:before="120" w:after="120"/>
            </w:pPr>
            <w:r>
              <w:t xml:space="preserve">R$ </w:t>
            </w:r>
            <w:r w:rsidR="00F03586">
              <w:t>0</w:t>
            </w:r>
          </w:p>
          <w:p w14:paraId="4FB5EEF2" w14:textId="77777777" w:rsidR="008238E6" w:rsidRDefault="00D61AB3">
            <w:pPr>
              <w:spacing w:before="120" w:after="120"/>
            </w:pPr>
            <w:r>
              <w:t>Cenário projetado:</w:t>
            </w:r>
          </w:p>
          <w:p w14:paraId="4FB5EEF3" w14:textId="10AF18B2" w:rsidR="008238E6" w:rsidRDefault="00D61AB3">
            <w:pPr>
              <w:spacing w:before="120" w:after="120"/>
            </w:pPr>
            <w:r>
              <w:t xml:space="preserve">R$ </w:t>
            </w:r>
            <w:r w:rsidR="00F03586" w:rsidRPr="00F03586">
              <w:t>663.204.619,91</w:t>
            </w:r>
          </w:p>
          <w:p w14:paraId="4FB5EEF9" w14:textId="6D2983CB" w:rsidR="008238E6" w:rsidRDefault="00D61AB3">
            <w:pPr>
              <w:spacing w:before="120" w:after="120"/>
              <w:rPr>
                <w:highlight w:val="yellow"/>
              </w:rPr>
            </w:pPr>
            <w:r>
              <w:t xml:space="preserve"> </w:t>
            </w:r>
          </w:p>
        </w:tc>
      </w:tr>
      <w:tr w:rsidR="008238E6" w14:paraId="4FB5EF09" w14:textId="77777777" w:rsidTr="3EF7B8AA">
        <w:trPr>
          <w:trHeight w:val="454"/>
          <w:jc w:val="center"/>
        </w:trPr>
        <w:tc>
          <w:tcPr>
            <w:tcW w:w="1634" w:type="dxa"/>
            <w:shd w:val="clear" w:color="auto" w:fill="auto"/>
          </w:tcPr>
          <w:p w14:paraId="4FB5EEFB" w14:textId="77777777" w:rsidR="008238E6" w:rsidRDefault="00D61AB3">
            <w:pPr>
              <w:spacing w:before="120" w:after="120"/>
              <w:jc w:val="center"/>
              <w:rPr>
                <w:b/>
              </w:rPr>
            </w:pPr>
            <w:r>
              <w:rPr>
                <w:b/>
                <w:color w:val="000000"/>
              </w:rPr>
              <w:t>Impacto incremental</w:t>
            </w:r>
          </w:p>
        </w:tc>
        <w:tc>
          <w:tcPr>
            <w:tcW w:w="2527" w:type="dxa"/>
            <w:shd w:val="clear" w:color="auto" w:fill="auto"/>
          </w:tcPr>
          <w:p w14:paraId="4FB5EEFC" w14:textId="77777777" w:rsidR="008238E6" w:rsidRDefault="00D61AB3">
            <w:pPr>
              <w:spacing w:before="120" w:after="120"/>
            </w:pPr>
            <w:r>
              <w:t>Impacto incremental</w:t>
            </w:r>
          </w:p>
          <w:p w14:paraId="4FB5EEFD" w14:textId="77777777" w:rsidR="008238E6" w:rsidRDefault="00D61AB3">
            <w:pPr>
              <w:spacing w:before="120" w:after="120"/>
            </w:pPr>
            <w:r>
              <w:t>acumulado em 5 anos:</w:t>
            </w:r>
          </w:p>
          <w:p w14:paraId="4FB5EEFE" w14:textId="77777777" w:rsidR="008238E6" w:rsidRDefault="00D61AB3">
            <w:pPr>
              <w:spacing w:before="120" w:after="120"/>
              <w:rPr>
                <w:highlight w:val="lightGray"/>
              </w:rPr>
            </w:pPr>
            <w:r>
              <w:rPr>
                <w:b/>
              </w:rPr>
              <w:t>R$ 150.704.430,09</w:t>
            </w:r>
          </w:p>
        </w:tc>
        <w:tc>
          <w:tcPr>
            <w:tcW w:w="2648" w:type="dxa"/>
          </w:tcPr>
          <w:p w14:paraId="4FB5EEFF" w14:textId="77777777" w:rsidR="008238E6" w:rsidRDefault="00D61AB3">
            <w:pPr>
              <w:spacing w:before="120" w:after="120"/>
              <w:jc w:val="center"/>
              <w:rPr>
                <w:i/>
                <w:color w:val="FF0000"/>
              </w:rPr>
            </w:pPr>
            <w:r>
              <w:t>Parcialmente Adequado</w:t>
            </w:r>
          </w:p>
        </w:tc>
        <w:tc>
          <w:tcPr>
            <w:tcW w:w="2409" w:type="dxa"/>
          </w:tcPr>
          <w:p w14:paraId="4FB5EF00" w14:textId="77777777" w:rsidR="008238E6" w:rsidRDefault="00D61AB3">
            <w:pPr>
              <w:spacing w:before="120" w:after="120"/>
            </w:pPr>
            <w:r>
              <w:t>Impacto incremental</w:t>
            </w:r>
          </w:p>
          <w:p w14:paraId="4FB5EF01" w14:textId="401DD456" w:rsidR="008238E6" w:rsidRDefault="00D61AB3">
            <w:pPr>
              <w:spacing w:before="120" w:after="120"/>
            </w:pPr>
            <w:r>
              <w:t>acumulado em 5 anos:</w:t>
            </w:r>
          </w:p>
          <w:p w14:paraId="1E8FF759" w14:textId="63470814" w:rsidR="008238E6" w:rsidRDefault="00D61AB3">
            <w:pPr>
              <w:spacing w:before="120" w:after="120"/>
            </w:pPr>
            <w:r w:rsidRPr="3EF7B8AA">
              <w:rPr>
                <w:b/>
                <w:bCs/>
              </w:rPr>
              <w:t xml:space="preserve">R$ </w:t>
            </w:r>
            <w:r w:rsidR="592819F5" w:rsidRPr="3EF7B8AA">
              <w:rPr>
                <w:b/>
                <w:bCs/>
              </w:rPr>
              <w:t>663.204.619,91</w:t>
            </w:r>
            <w:r w:rsidRPr="3EF7B8AA">
              <w:rPr>
                <w:b/>
                <w:bCs/>
              </w:rPr>
              <w:t xml:space="preserve"> </w:t>
            </w:r>
          </w:p>
          <w:p w14:paraId="4FB5EF02" w14:textId="28B0829F" w:rsidR="008238E6" w:rsidRDefault="00D61AB3">
            <w:pPr>
              <w:spacing w:before="120" w:after="120"/>
            </w:pPr>
            <w:r>
              <w:t>Esse valor considera a curva de incorporação de 30% a 70% em 5 anos.</w:t>
            </w:r>
          </w:p>
          <w:p w14:paraId="4FB5EF08" w14:textId="3987DD6E" w:rsidR="008238E6" w:rsidRDefault="008238E6">
            <w:pPr>
              <w:spacing w:before="120" w:after="120"/>
              <w:rPr>
                <w:highlight w:val="yellow"/>
              </w:rPr>
            </w:pPr>
          </w:p>
        </w:tc>
      </w:tr>
      <w:tr w:rsidR="008238E6" w14:paraId="4FB5EF10" w14:textId="77777777" w:rsidTr="3EF7B8AA">
        <w:trPr>
          <w:trHeight w:val="454"/>
          <w:jc w:val="center"/>
        </w:trPr>
        <w:tc>
          <w:tcPr>
            <w:tcW w:w="1634" w:type="dxa"/>
            <w:shd w:val="clear" w:color="auto" w:fill="auto"/>
          </w:tcPr>
          <w:p w14:paraId="4FB5EF0A" w14:textId="77777777" w:rsidR="008238E6" w:rsidRDefault="00D61AB3">
            <w:pPr>
              <w:spacing w:before="120" w:after="120"/>
              <w:jc w:val="center"/>
              <w:rPr>
                <w:b/>
                <w:color w:val="000000"/>
              </w:rPr>
            </w:pPr>
            <w:r>
              <w:rPr>
                <w:b/>
                <w:color w:val="000000"/>
              </w:rPr>
              <w:t>Caracterização da incerteza</w:t>
            </w:r>
          </w:p>
        </w:tc>
        <w:tc>
          <w:tcPr>
            <w:tcW w:w="2527" w:type="dxa"/>
            <w:shd w:val="clear" w:color="auto" w:fill="auto"/>
          </w:tcPr>
          <w:p w14:paraId="4FB5EF0B" w14:textId="77777777" w:rsidR="008238E6" w:rsidRDefault="00D61AB3">
            <w:pPr>
              <w:spacing w:before="120" w:after="120"/>
            </w:pPr>
            <w:r>
              <w:t xml:space="preserve">Análise de sensibilidade determinística, com diagrama de Tornado. </w:t>
            </w:r>
          </w:p>
          <w:p w14:paraId="4FB5EF0C" w14:textId="77777777" w:rsidR="008238E6" w:rsidRDefault="00D61AB3">
            <w:pPr>
              <w:spacing w:before="120" w:after="120"/>
            </w:pPr>
            <w:r>
              <w:t>O parâmetro que mais influencia os resultados é o custo do teste genético, seguido pela utilidade para insulina e medicamento oral.</w:t>
            </w:r>
          </w:p>
          <w:p w14:paraId="4FB5EF0D" w14:textId="77777777" w:rsidR="008238E6" w:rsidRDefault="008238E6">
            <w:pPr>
              <w:spacing w:before="120" w:after="120"/>
            </w:pPr>
          </w:p>
        </w:tc>
        <w:tc>
          <w:tcPr>
            <w:tcW w:w="2648" w:type="dxa"/>
          </w:tcPr>
          <w:p w14:paraId="4FB5EF0E" w14:textId="77777777" w:rsidR="008238E6" w:rsidRDefault="00D61AB3">
            <w:pPr>
              <w:spacing w:before="120" w:after="120"/>
              <w:jc w:val="center"/>
              <w:rPr>
                <w:i/>
                <w:color w:val="FF0000"/>
                <w:highlight w:val="white"/>
              </w:rPr>
            </w:pPr>
            <w:r>
              <w:t>Adequado</w:t>
            </w:r>
          </w:p>
        </w:tc>
        <w:tc>
          <w:tcPr>
            <w:tcW w:w="2409" w:type="dxa"/>
          </w:tcPr>
          <w:p w14:paraId="4FB5EF0F" w14:textId="0D1F28A7" w:rsidR="008238E6" w:rsidRDefault="00071517" w:rsidP="00587DF3">
            <w:pPr>
              <w:spacing w:before="120" w:after="120"/>
            </w:pPr>
            <w:r>
              <w:t>Não foi realizada análise de sensibilidade</w:t>
            </w:r>
          </w:p>
        </w:tc>
      </w:tr>
    </w:tbl>
    <w:p w14:paraId="4FB5EF12" w14:textId="77777777" w:rsidR="008238E6" w:rsidRDefault="008238E6"/>
    <w:p w14:paraId="4FB5EF17" w14:textId="77777777" w:rsidR="008238E6" w:rsidRDefault="00D61AB3">
      <w:pPr>
        <w:pStyle w:val="Heading4"/>
      </w:pPr>
      <w:r>
        <w:rPr>
          <w:b/>
        </w:rPr>
        <w:t>Quadro 32.</w:t>
      </w:r>
      <w:r>
        <w:t xml:space="preserve">  Parâmetros de custo e fontes de dados (versão do PROPONENTE e do PARECERISTA).</w:t>
      </w:r>
    </w:p>
    <w:tbl>
      <w:tblPr>
        <w:tblStyle w:val="affffffff"/>
        <w:tblW w:w="918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85"/>
        <w:gridCol w:w="2415"/>
        <w:gridCol w:w="2640"/>
        <w:gridCol w:w="2340"/>
      </w:tblGrid>
      <w:tr w:rsidR="008238E6" w14:paraId="4FB5EF19" w14:textId="77777777" w:rsidTr="3EF7B8AA">
        <w:tc>
          <w:tcPr>
            <w:tcW w:w="9180" w:type="dxa"/>
            <w:gridSpan w:val="4"/>
            <w:shd w:val="clear" w:color="auto" w:fill="D9E2F3"/>
            <w:vAlign w:val="center"/>
          </w:tcPr>
          <w:p w14:paraId="4FB5EF18" w14:textId="77777777" w:rsidR="008238E6" w:rsidRDefault="00D61AB3">
            <w:pPr>
              <w:spacing w:before="120" w:after="120"/>
              <w:jc w:val="center"/>
              <w:rPr>
                <w:b/>
              </w:rPr>
            </w:pPr>
            <w:r>
              <w:rPr>
                <w:b/>
              </w:rPr>
              <w:t>Proponente</w:t>
            </w:r>
          </w:p>
        </w:tc>
      </w:tr>
      <w:tr w:rsidR="008238E6" w14:paraId="4FB5EF1E" w14:textId="77777777" w:rsidTr="3EF7B8AA">
        <w:tc>
          <w:tcPr>
            <w:tcW w:w="1785" w:type="dxa"/>
            <w:shd w:val="clear" w:color="auto" w:fill="D9E2F3"/>
            <w:vAlign w:val="center"/>
          </w:tcPr>
          <w:p w14:paraId="4FB5EF1A" w14:textId="77777777" w:rsidR="008238E6" w:rsidRDefault="00D61AB3">
            <w:pPr>
              <w:spacing w:before="120" w:after="120"/>
              <w:jc w:val="center"/>
              <w:rPr>
                <w:b/>
              </w:rPr>
            </w:pPr>
            <w:r>
              <w:rPr>
                <w:b/>
              </w:rPr>
              <w:t>Item</w:t>
            </w:r>
          </w:p>
        </w:tc>
        <w:tc>
          <w:tcPr>
            <w:tcW w:w="2415" w:type="dxa"/>
            <w:shd w:val="clear" w:color="auto" w:fill="D9E2F3"/>
          </w:tcPr>
          <w:p w14:paraId="4FB5EF1B" w14:textId="77777777" w:rsidR="008238E6" w:rsidRDefault="00D61AB3">
            <w:pPr>
              <w:spacing w:before="120" w:after="120"/>
              <w:jc w:val="center"/>
              <w:rPr>
                <w:b/>
              </w:rPr>
            </w:pPr>
            <w:r>
              <w:rPr>
                <w:b/>
              </w:rPr>
              <w:t>Valor (R$)</w:t>
            </w:r>
          </w:p>
        </w:tc>
        <w:tc>
          <w:tcPr>
            <w:tcW w:w="2640" w:type="dxa"/>
            <w:shd w:val="clear" w:color="auto" w:fill="D9E2F3"/>
          </w:tcPr>
          <w:p w14:paraId="4FB5EF1C" w14:textId="77777777" w:rsidR="008238E6" w:rsidRDefault="00D61AB3">
            <w:pPr>
              <w:spacing w:before="120" w:after="120"/>
              <w:jc w:val="center"/>
              <w:rPr>
                <w:b/>
              </w:rPr>
            </w:pPr>
            <w:r>
              <w:rPr>
                <w:b/>
              </w:rPr>
              <w:t>Intervalo (se pertinente)</w:t>
            </w:r>
          </w:p>
        </w:tc>
        <w:tc>
          <w:tcPr>
            <w:tcW w:w="2340" w:type="dxa"/>
            <w:shd w:val="clear" w:color="auto" w:fill="D9E2F3"/>
          </w:tcPr>
          <w:p w14:paraId="4FB5EF1D" w14:textId="77777777" w:rsidR="008238E6" w:rsidRDefault="00D61AB3">
            <w:pPr>
              <w:spacing w:before="120" w:after="120"/>
              <w:jc w:val="center"/>
              <w:rPr>
                <w:b/>
              </w:rPr>
            </w:pPr>
            <w:r>
              <w:rPr>
                <w:b/>
              </w:rPr>
              <w:t>Referência</w:t>
            </w:r>
          </w:p>
        </w:tc>
      </w:tr>
      <w:tr w:rsidR="008238E6" w14:paraId="4FB5EF25" w14:textId="77777777" w:rsidTr="3EF7B8AA">
        <w:tc>
          <w:tcPr>
            <w:tcW w:w="1785" w:type="dxa"/>
            <w:vAlign w:val="center"/>
          </w:tcPr>
          <w:p w14:paraId="4FB5EF1F" w14:textId="77777777" w:rsidR="008238E6" w:rsidRDefault="00D61AB3">
            <w:pPr>
              <w:spacing w:before="120" w:after="120"/>
            </w:pPr>
            <w:r>
              <w:t>Consulta médica</w:t>
            </w:r>
          </w:p>
        </w:tc>
        <w:tc>
          <w:tcPr>
            <w:tcW w:w="2415" w:type="dxa"/>
            <w:vAlign w:val="center"/>
          </w:tcPr>
          <w:p w14:paraId="4FB5EF20" w14:textId="77777777" w:rsidR="008238E6" w:rsidRDefault="00D61AB3">
            <w:pPr>
              <w:spacing w:before="120" w:after="120"/>
              <w:jc w:val="center"/>
            </w:pPr>
            <w:r>
              <w:t>249,14</w:t>
            </w:r>
          </w:p>
          <w:p w14:paraId="4FB5EF21" w14:textId="77777777" w:rsidR="008238E6" w:rsidRDefault="00D61AB3">
            <w:pPr>
              <w:spacing w:before="120" w:after="120"/>
              <w:jc w:val="center"/>
            </w:pPr>
            <w:r>
              <w:t>Utilização 100%</w:t>
            </w:r>
          </w:p>
          <w:p w14:paraId="4FB5EF22" w14:textId="77777777" w:rsidR="008238E6" w:rsidRDefault="00D61AB3">
            <w:pPr>
              <w:spacing w:before="120" w:after="120"/>
              <w:jc w:val="center"/>
            </w:pPr>
            <w:r>
              <w:t>Valor final: 249,14</w:t>
            </w:r>
          </w:p>
        </w:tc>
        <w:tc>
          <w:tcPr>
            <w:tcW w:w="2640" w:type="dxa"/>
            <w:vAlign w:val="center"/>
          </w:tcPr>
          <w:p w14:paraId="4FB5EF23" w14:textId="77777777" w:rsidR="008238E6" w:rsidRDefault="00D61AB3">
            <w:pPr>
              <w:spacing w:before="120" w:after="120"/>
              <w:jc w:val="center"/>
            </w:pPr>
            <w:r>
              <w:t>NA</w:t>
            </w:r>
          </w:p>
        </w:tc>
        <w:tc>
          <w:tcPr>
            <w:tcW w:w="2340" w:type="dxa"/>
            <w:vAlign w:val="center"/>
          </w:tcPr>
          <w:p w14:paraId="4FB5EF24" w14:textId="77777777" w:rsidR="008238E6" w:rsidRDefault="00D61AB3">
            <w:pPr>
              <w:spacing w:before="120" w:after="120"/>
              <w:jc w:val="center"/>
            </w:pPr>
            <w:r>
              <w:t>CBHPM 2021</w:t>
            </w:r>
          </w:p>
        </w:tc>
      </w:tr>
      <w:tr w:rsidR="008238E6" w14:paraId="4FB5EF2C" w14:textId="77777777" w:rsidTr="3EF7B8AA">
        <w:tc>
          <w:tcPr>
            <w:tcW w:w="1785" w:type="dxa"/>
            <w:vAlign w:val="center"/>
          </w:tcPr>
          <w:p w14:paraId="4FB5EF26" w14:textId="77777777" w:rsidR="008238E6" w:rsidRDefault="00D61AB3">
            <w:pPr>
              <w:spacing w:before="120" w:after="120"/>
            </w:pPr>
            <w:r>
              <w:t>Fotocoagulação (DUT 59)</w:t>
            </w:r>
          </w:p>
        </w:tc>
        <w:tc>
          <w:tcPr>
            <w:tcW w:w="2415" w:type="dxa"/>
            <w:vAlign w:val="center"/>
          </w:tcPr>
          <w:p w14:paraId="4FB5EF27" w14:textId="77777777" w:rsidR="008238E6" w:rsidRDefault="00D61AB3">
            <w:pPr>
              <w:spacing w:before="120" w:after="120"/>
              <w:jc w:val="center"/>
            </w:pPr>
            <w:r>
              <w:t>2.269,75 x 3 = 6.809,25</w:t>
            </w:r>
          </w:p>
          <w:p w14:paraId="4FB5EF28" w14:textId="77777777" w:rsidR="008238E6" w:rsidRDefault="00D61AB3">
            <w:pPr>
              <w:spacing w:before="120" w:after="120"/>
              <w:jc w:val="center"/>
            </w:pPr>
            <w:r>
              <w:t>Utilização 10%</w:t>
            </w:r>
          </w:p>
          <w:p w14:paraId="4FB5EF29" w14:textId="77777777" w:rsidR="008238E6" w:rsidRDefault="00D61AB3">
            <w:pPr>
              <w:spacing w:before="120" w:after="120"/>
              <w:jc w:val="center"/>
            </w:pPr>
            <w:r>
              <w:t>Valor final: 680,92</w:t>
            </w:r>
          </w:p>
        </w:tc>
        <w:tc>
          <w:tcPr>
            <w:tcW w:w="2640" w:type="dxa"/>
            <w:vAlign w:val="center"/>
          </w:tcPr>
          <w:p w14:paraId="4FB5EF2A" w14:textId="77777777" w:rsidR="008238E6" w:rsidRDefault="00D61AB3">
            <w:pPr>
              <w:spacing w:before="120" w:after="120"/>
              <w:jc w:val="center"/>
            </w:pPr>
            <w:r>
              <w:t>NA</w:t>
            </w:r>
          </w:p>
        </w:tc>
        <w:tc>
          <w:tcPr>
            <w:tcW w:w="2340" w:type="dxa"/>
            <w:vAlign w:val="center"/>
          </w:tcPr>
          <w:p w14:paraId="4FB5EF2B" w14:textId="77777777" w:rsidR="008238E6" w:rsidRDefault="00D61AB3">
            <w:pPr>
              <w:spacing w:before="120" w:after="120"/>
              <w:jc w:val="center"/>
            </w:pPr>
            <w:r>
              <w:t>CBHPM 2021</w:t>
            </w:r>
          </w:p>
        </w:tc>
      </w:tr>
      <w:tr w:rsidR="008238E6" w14:paraId="4FB5EF35" w14:textId="77777777" w:rsidTr="3EF7B8AA">
        <w:tc>
          <w:tcPr>
            <w:tcW w:w="1785" w:type="dxa"/>
            <w:vAlign w:val="center"/>
          </w:tcPr>
          <w:p w14:paraId="4FB5EF2D" w14:textId="77777777" w:rsidR="008238E6" w:rsidRDefault="00D61AB3">
            <w:pPr>
              <w:spacing w:before="120" w:after="120"/>
            </w:pPr>
            <w:r>
              <w:t>Tratamento com antiangiogênico (DUT 74)</w:t>
            </w:r>
          </w:p>
        </w:tc>
        <w:tc>
          <w:tcPr>
            <w:tcW w:w="2415" w:type="dxa"/>
            <w:vAlign w:val="center"/>
          </w:tcPr>
          <w:p w14:paraId="4FB5EF2E" w14:textId="77777777" w:rsidR="008238E6" w:rsidRDefault="00D61AB3">
            <w:pPr>
              <w:spacing w:before="120" w:after="120"/>
              <w:jc w:val="center"/>
            </w:pPr>
            <w:r>
              <w:t>2.200,45 x 3 = 6.601,35</w:t>
            </w:r>
          </w:p>
          <w:p w14:paraId="4FB5EF2F" w14:textId="77777777" w:rsidR="008238E6" w:rsidRDefault="00D61AB3">
            <w:pPr>
              <w:spacing w:before="120" w:after="120"/>
              <w:jc w:val="center"/>
            </w:pPr>
            <w:r>
              <w:t>Utilização 5%</w:t>
            </w:r>
          </w:p>
          <w:p w14:paraId="4FB5EF30" w14:textId="77777777" w:rsidR="008238E6" w:rsidRDefault="00D61AB3">
            <w:pPr>
              <w:spacing w:before="120" w:after="120"/>
              <w:jc w:val="center"/>
            </w:pPr>
            <w:r>
              <w:t>Valor final: 312,56</w:t>
            </w:r>
          </w:p>
        </w:tc>
        <w:tc>
          <w:tcPr>
            <w:tcW w:w="2640" w:type="dxa"/>
            <w:vAlign w:val="center"/>
          </w:tcPr>
          <w:p w14:paraId="4FB5EF31" w14:textId="77777777" w:rsidR="008238E6" w:rsidRDefault="00D61AB3">
            <w:pPr>
              <w:spacing w:before="120" w:after="120"/>
              <w:jc w:val="center"/>
            </w:pPr>
            <w:r>
              <w:t>NA</w:t>
            </w:r>
          </w:p>
        </w:tc>
        <w:tc>
          <w:tcPr>
            <w:tcW w:w="2340" w:type="dxa"/>
            <w:vAlign w:val="center"/>
          </w:tcPr>
          <w:p w14:paraId="4FB5EF32" w14:textId="77777777" w:rsidR="008238E6" w:rsidRDefault="00D61AB3">
            <w:pPr>
              <w:spacing w:before="120" w:after="120"/>
              <w:jc w:val="center"/>
            </w:pPr>
            <w:r>
              <w:t>Bevacizumabe</w:t>
            </w:r>
          </w:p>
          <w:p w14:paraId="4FB5EF33" w14:textId="77777777" w:rsidR="008238E6" w:rsidRDefault="00D61AB3">
            <w:pPr>
              <w:spacing w:before="120" w:after="120"/>
              <w:jc w:val="center"/>
            </w:pPr>
            <w:r>
              <w:t>(PF 18%)</w:t>
            </w:r>
          </w:p>
          <w:p w14:paraId="4FB5EF34" w14:textId="77777777" w:rsidR="008238E6" w:rsidRDefault="00D61AB3">
            <w:pPr>
              <w:spacing w:before="120" w:after="120"/>
              <w:jc w:val="center"/>
            </w:pPr>
            <w:r>
              <w:t>CMED 2022</w:t>
            </w:r>
          </w:p>
        </w:tc>
      </w:tr>
      <w:tr w:rsidR="008238E6" w14:paraId="4FB5EF3C" w14:textId="77777777" w:rsidTr="3EF7B8AA">
        <w:tc>
          <w:tcPr>
            <w:tcW w:w="1785" w:type="dxa"/>
            <w:vAlign w:val="center"/>
          </w:tcPr>
          <w:p w14:paraId="4FB5EF36" w14:textId="77777777" w:rsidR="008238E6" w:rsidRDefault="00D61AB3">
            <w:pPr>
              <w:spacing w:before="120" w:after="120"/>
            </w:pPr>
            <w:r>
              <w:t>Tomografia de coerência óptica (DUT 69)</w:t>
            </w:r>
          </w:p>
        </w:tc>
        <w:tc>
          <w:tcPr>
            <w:tcW w:w="2415" w:type="dxa"/>
            <w:vAlign w:val="center"/>
          </w:tcPr>
          <w:p w14:paraId="4FB5EF37" w14:textId="77777777" w:rsidR="008238E6" w:rsidRDefault="00D61AB3">
            <w:pPr>
              <w:spacing w:before="120" w:after="120"/>
              <w:jc w:val="center"/>
            </w:pPr>
            <w:r>
              <w:t>699,94</w:t>
            </w:r>
          </w:p>
          <w:p w14:paraId="4FB5EF38" w14:textId="77777777" w:rsidR="008238E6" w:rsidRDefault="00D61AB3">
            <w:pPr>
              <w:spacing w:before="120" w:after="120"/>
              <w:jc w:val="center"/>
            </w:pPr>
            <w:r>
              <w:t>Utilização 20%</w:t>
            </w:r>
          </w:p>
          <w:p w14:paraId="4FB5EF39" w14:textId="77777777" w:rsidR="008238E6" w:rsidRDefault="00D61AB3">
            <w:pPr>
              <w:spacing w:before="120" w:after="120"/>
              <w:jc w:val="center"/>
            </w:pPr>
            <w:r>
              <w:t>Valor final: 139,99</w:t>
            </w:r>
          </w:p>
        </w:tc>
        <w:tc>
          <w:tcPr>
            <w:tcW w:w="2640" w:type="dxa"/>
            <w:vAlign w:val="center"/>
          </w:tcPr>
          <w:p w14:paraId="4FB5EF3A" w14:textId="77777777" w:rsidR="008238E6" w:rsidRDefault="00D61AB3">
            <w:pPr>
              <w:spacing w:before="120" w:after="120"/>
              <w:jc w:val="center"/>
            </w:pPr>
            <w:r>
              <w:t>NA</w:t>
            </w:r>
          </w:p>
        </w:tc>
        <w:tc>
          <w:tcPr>
            <w:tcW w:w="2340" w:type="dxa"/>
            <w:vAlign w:val="center"/>
          </w:tcPr>
          <w:p w14:paraId="4FB5EF3B" w14:textId="77777777" w:rsidR="008238E6" w:rsidRDefault="00D61AB3">
            <w:pPr>
              <w:spacing w:before="120" w:after="120"/>
              <w:jc w:val="center"/>
            </w:pPr>
            <w:r>
              <w:t>CBHPM 2021</w:t>
            </w:r>
          </w:p>
        </w:tc>
      </w:tr>
      <w:tr w:rsidR="008238E6" w14:paraId="4FB5EF43" w14:textId="77777777" w:rsidTr="3EF7B8AA">
        <w:tc>
          <w:tcPr>
            <w:tcW w:w="1785" w:type="dxa"/>
            <w:vAlign w:val="center"/>
          </w:tcPr>
          <w:p w14:paraId="4FB5EF3D" w14:textId="77777777" w:rsidR="008238E6" w:rsidRDefault="00D61AB3">
            <w:pPr>
              <w:spacing w:before="120" w:after="120"/>
            </w:pPr>
            <w:r>
              <w:t>Exame de urina</w:t>
            </w:r>
          </w:p>
        </w:tc>
        <w:tc>
          <w:tcPr>
            <w:tcW w:w="2415" w:type="dxa"/>
            <w:vAlign w:val="center"/>
          </w:tcPr>
          <w:p w14:paraId="4FB5EF3E" w14:textId="77777777" w:rsidR="008238E6" w:rsidRDefault="00D61AB3">
            <w:pPr>
              <w:spacing w:before="120" w:after="120"/>
              <w:jc w:val="center"/>
            </w:pPr>
            <w:r>
              <w:t>20,71</w:t>
            </w:r>
          </w:p>
          <w:p w14:paraId="4FB5EF3F" w14:textId="77777777" w:rsidR="008238E6" w:rsidRDefault="00D61AB3">
            <w:pPr>
              <w:spacing w:before="120" w:after="120"/>
              <w:jc w:val="center"/>
            </w:pPr>
            <w:r>
              <w:t>Utilização 100%</w:t>
            </w:r>
          </w:p>
          <w:p w14:paraId="4FB5EF40" w14:textId="77777777" w:rsidR="008238E6" w:rsidRDefault="00D61AB3">
            <w:pPr>
              <w:spacing w:before="120" w:after="120"/>
              <w:jc w:val="center"/>
            </w:pPr>
            <w:r>
              <w:t>Valor final: 20,71</w:t>
            </w:r>
          </w:p>
        </w:tc>
        <w:tc>
          <w:tcPr>
            <w:tcW w:w="2640" w:type="dxa"/>
            <w:vAlign w:val="center"/>
          </w:tcPr>
          <w:p w14:paraId="4FB5EF41" w14:textId="77777777" w:rsidR="008238E6" w:rsidRDefault="00D61AB3">
            <w:pPr>
              <w:spacing w:before="120" w:after="120"/>
              <w:jc w:val="center"/>
            </w:pPr>
            <w:r>
              <w:t>NA</w:t>
            </w:r>
          </w:p>
        </w:tc>
        <w:tc>
          <w:tcPr>
            <w:tcW w:w="2340" w:type="dxa"/>
            <w:vAlign w:val="center"/>
          </w:tcPr>
          <w:p w14:paraId="4FB5EF42" w14:textId="77777777" w:rsidR="008238E6" w:rsidRDefault="00D61AB3">
            <w:pPr>
              <w:spacing w:before="120" w:after="120"/>
              <w:jc w:val="center"/>
            </w:pPr>
            <w:r>
              <w:t>CBHPM 2021</w:t>
            </w:r>
          </w:p>
        </w:tc>
      </w:tr>
      <w:tr w:rsidR="008238E6" w14:paraId="4FB5EF48" w14:textId="77777777" w:rsidTr="3EF7B8AA">
        <w:tc>
          <w:tcPr>
            <w:tcW w:w="1785" w:type="dxa"/>
            <w:vAlign w:val="center"/>
          </w:tcPr>
          <w:p w14:paraId="4FB5EF44" w14:textId="77777777" w:rsidR="008238E6" w:rsidRDefault="00D61AB3">
            <w:pPr>
              <w:spacing w:before="120" w:after="120"/>
            </w:pPr>
            <w:r>
              <w:t>Hemoglobina glicada (A1 total)</w:t>
            </w:r>
          </w:p>
        </w:tc>
        <w:tc>
          <w:tcPr>
            <w:tcW w:w="2415" w:type="dxa"/>
            <w:vAlign w:val="center"/>
          </w:tcPr>
          <w:p w14:paraId="4FB5EF45" w14:textId="77777777" w:rsidR="008238E6" w:rsidRDefault="00D61AB3">
            <w:pPr>
              <w:spacing w:before="120" w:after="120"/>
              <w:jc w:val="center"/>
            </w:pPr>
            <w:r>
              <w:t>45,46</w:t>
            </w:r>
          </w:p>
        </w:tc>
        <w:tc>
          <w:tcPr>
            <w:tcW w:w="2640" w:type="dxa"/>
            <w:vAlign w:val="center"/>
          </w:tcPr>
          <w:p w14:paraId="4FB5EF46" w14:textId="77777777" w:rsidR="008238E6" w:rsidRDefault="00D61AB3">
            <w:pPr>
              <w:spacing w:before="120" w:after="120"/>
              <w:jc w:val="center"/>
            </w:pPr>
            <w:r>
              <w:t>NA</w:t>
            </w:r>
          </w:p>
        </w:tc>
        <w:tc>
          <w:tcPr>
            <w:tcW w:w="2340" w:type="dxa"/>
            <w:vAlign w:val="center"/>
          </w:tcPr>
          <w:p w14:paraId="4FB5EF47" w14:textId="77777777" w:rsidR="008238E6" w:rsidRDefault="00D61AB3">
            <w:pPr>
              <w:spacing w:before="120" w:after="120"/>
              <w:jc w:val="center"/>
            </w:pPr>
            <w:r>
              <w:t>CBHPM 2021</w:t>
            </w:r>
          </w:p>
        </w:tc>
      </w:tr>
      <w:tr w:rsidR="008238E6" w14:paraId="4FB5EF4D" w14:textId="77777777" w:rsidTr="3EF7B8AA">
        <w:tc>
          <w:tcPr>
            <w:tcW w:w="1785" w:type="dxa"/>
            <w:vAlign w:val="center"/>
          </w:tcPr>
          <w:p w14:paraId="4FB5EF49" w14:textId="77777777" w:rsidR="008238E6" w:rsidRDefault="00D61AB3">
            <w:pPr>
              <w:spacing w:before="120" w:after="120"/>
            </w:pPr>
            <w:r>
              <w:t>Dosagem de glicemia após sobrecarga com dextrosol ou glicose</w:t>
            </w:r>
          </w:p>
        </w:tc>
        <w:tc>
          <w:tcPr>
            <w:tcW w:w="2415" w:type="dxa"/>
            <w:vAlign w:val="center"/>
          </w:tcPr>
          <w:p w14:paraId="4FB5EF4A" w14:textId="77777777" w:rsidR="008238E6" w:rsidRDefault="00D61AB3">
            <w:pPr>
              <w:spacing w:before="120" w:after="120"/>
              <w:jc w:val="center"/>
            </w:pPr>
            <w:r>
              <w:t>14,17</w:t>
            </w:r>
          </w:p>
        </w:tc>
        <w:tc>
          <w:tcPr>
            <w:tcW w:w="2640" w:type="dxa"/>
            <w:vAlign w:val="center"/>
          </w:tcPr>
          <w:p w14:paraId="4FB5EF4B" w14:textId="77777777" w:rsidR="008238E6" w:rsidRDefault="00D61AB3">
            <w:pPr>
              <w:spacing w:before="120" w:after="120"/>
              <w:jc w:val="center"/>
            </w:pPr>
            <w:r>
              <w:t>NA</w:t>
            </w:r>
          </w:p>
        </w:tc>
        <w:tc>
          <w:tcPr>
            <w:tcW w:w="2340" w:type="dxa"/>
            <w:vAlign w:val="center"/>
          </w:tcPr>
          <w:p w14:paraId="4FB5EF4C" w14:textId="77777777" w:rsidR="008238E6" w:rsidRDefault="00D61AB3">
            <w:pPr>
              <w:spacing w:before="120" w:after="120"/>
              <w:jc w:val="center"/>
            </w:pPr>
            <w:r>
              <w:t>CBHPM 2021</w:t>
            </w:r>
          </w:p>
        </w:tc>
      </w:tr>
      <w:tr w:rsidR="008238E6" w14:paraId="4FB5EF52" w14:textId="77777777" w:rsidTr="3EF7B8AA">
        <w:tc>
          <w:tcPr>
            <w:tcW w:w="1785" w:type="dxa"/>
            <w:vAlign w:val="center"/>
          </w:tcPr>
          <w:p w14:paraId="4FB5EF4E" w14:textId="77777777" w:rsidR="008238E6" w:rsidRDefault="00D61AB3">
            <w:pPr>
              <w:spacing w:before="120" w:after="120"/>
            </w:pPr>
            <w:r>
              <w:t>Teste genético mody - Captura/Amplificação e subsequente sequenciamento de regiões genômicas</w:t>
            </w:r>
          </w:p>
        </w:tc>
        <w:tc>
          <w:tcPr>
            <w:tcW w:w="2415" w:type="dxa"/>
            <w:vAlign w:val="center"/>
          </w:tcPr>
          <w:p w14:paraId="4FB5EF4F" w14:textId="77777777" w:rsidR="008238E6" w:rsidRDefault="00D61AB3">
            <w:pPr>
              <w:spacing w:before="120" w:after="120"/>
              <w:jc w:val="center"/>
            </w:pPr>
            <w:r>
              <w:t>1.102,61</w:t>
            </w:r>
          </w:p>
        </w:tc>
        <w:tc>
          <w:tcPr>
            <w:tcW w:w="2640" w:type="dxa"/>
            <w:vAlign w:val="center"/>
          </w:tcPr>
          <w:p w14:paraId="4FB5EF50" w14:textId="77777777" w:rsidR="008238E6" w:rsidRDefault="00D61AB3">
            <w:pPr>
              <w:spacing w:before="120" w:after="120"/>
              <w:jc w:val="center"/>
            </w:pPr>
            <w:r>
              <w:t>NA</w:t>
            </w:r>
          </w:p>
        </w:tc>
        <w:tc>
          <w:tcPr>
            <w:tcW w:w="2340" w:type="dxa"/>
            <w:vAlign w:val="center"/>
          </w:tcPr>
          <w:p w14:paraId="4FB5EF51" w14:textId="77777777" w:rsidR="008238E6" w:rsidRDefault="00D61AB3">
            <w:pPr>
              <w:spacing w:before="120" w:after="120"/>
              <w:jc w:val="center"/>
            </w:pPr>
            <w:r>
              <w:t>CBHPM 2021</w:t>
            </w:r>
          </w:p>
        </w:tc>
      </w:tr>
      <w:tr w:rsidR="008238E6" w14:paraId="4FB5EF54" w14:textId="77777777" w:rsidTr="3EF7B8AA">
        <w:tc>
          <w:tcPr>
            <w:tcW w:w="9180" w:type="dxa"/>
            <w:gridSpan w:val="4"/>
            <w:shd w:val="clear" w:color="auto" w:fill="D9E2F3"/>
            <w:vAlign w:val="center"/>
          </w:tcPr>
          <w:p w14:paraId="4FB5EF53" w14:textId="77777777" w:rsidR="008238E6" w:rsidRDefault="00D61AB3">
            <w:pPr>
              <w:spacing w:before="120" w:after="120"/>
              <w:jc w:val="center"/>
              <w:rPr>
                <w:b/>
              </w:rPr>
            </w:pPr>
            <w:r>
              <w:rPr>
                <w:b/>
              </w:rPr>
              <w:t>Parecerista</w:t>
            </w:r>
          </w:p>
        </w:tc>
      </w:tr>
      <w:tr w:rsidR="008238E6" w14:paraId="4FB5EF59" w14:textId="77777777" w:rsidTr="3EF7B8AA">
        <w:tc>
          <w:tcPr>
            <w:tcW w:w="1785" w:type="dxa"/>
            <w:shd w:val="clear" w:color="auto" w:fill="D9E2F3"/>
            <w:vAlign w:val="center"/>
          </w:tcPr>
          <w:p w14:paraId="4FB5EF55" w14:textId="77777777" w:rsidR="008238E6" w:rsidRDefault="00D61AB3">
            <w:pPr>
              <w:spacing w:before="120" w:after="120"/>
              <w:jc w:val="center"/>
              <w:rPr>
                <w:b/>
              </w:rPr>
            </w:pPr>
            <w:r>
              <w:rPr>
                <w:b/>
              </w:rPr>
              <w:t>Item</w:t>
            </w:r>
          </w:p>
        </w:tc>
        <w:tc>
          <w:tcPr>
            <w:tcW w:w="2415" w:type="dxa"/>
            <w:shd w:val="clear" w:color="auto" w:fill="D9E2F3"/>
          </w:tcPr>
          <w:p w14:paraId="4FB5EF56" w14:textId="77777777" w:rsidR="008238E6" w:rsidRDefault="00D61AB3">
            <w:pPr>
              <w:spacing w:before="120" w:after="120"/>
              <w:jc w:val="center"/>
            </w:pPr>
            <w:r>
              <w:rPr>
                <w:b/>
              </w:rPr>
              <w:t>Valor</w:t>
            </w:r>
          </w:p>
        </w:tc>
        <w:tc>
          <w:tcPr>
            <w:tcW w:w="2640" w:type="dxa"/>
            <w:shd w:val="clear" w:color="auto" w:fill="D9E2F3"/>
          </w:tcPr>
          <w:p w14:paraId="4FB5EF57" w14:textId="77777777" w:rsidR="008238E6" w:rsidRDefault="00D61AB3">
            <w:pPr>
              <w:spacing w:before="120" w:after="120"/>
              <w:jc w:val="center"/>
            </w:pPr>
            <w:r>
              <w:rPr>
                <w:b/>
              </w:rPr>
              <w:t>Intervalo (se pertinente)</w:t>
            </w:r>
          </w:p>
        </w:tc>
        <w:tc>
          <w:tcPr>
            <w:tcW w:w="2340" w:type="dxa"/>
            <w:shd w:val="clear" w:color="auto" w:fill="D9E2F3"/>
          </w:tcPr>
          <w:p w14:paraId="4FB5EF58" w14:textId="77777777" w:rsidR="008238E6" w:rsidRDefault="00D61AB3">
            <w:pPr>
              <w:spacing w:before="120" w:after="120"/>
              <w:jc w:val="center"/>
            </w:pPr>
            <w:r>
              <w:rPr>
                <w:b/>
              </w:rPr>
              <w:t>Referência</w:t>
            </w:r>
          </w:p>
        </w:tc>
      </w:tr>
      <w:tr w:rsidR="008238E6" w14:paraId="4FB5EF5F" w14:textId="77777777" w:rsidTr="3EF7B8AA">
        <w:tc>
          <w:tcPr>
            <w:tcW w:w="1785" w:type="dxa"/>
            <w:vAlign w:val="center"/>
          </w:tcPr>
          <w:p w14:paraId="4FB5EF5A" w14:textId="77777777" w:rsidR="008238E6" w:rsidRPr="00981134" w:rsidRDefault="00D61AB3">
            <w:pPr>
              <w:spacing w:before="120" w:after="120"/>
            </w:pPr>
            <w:r w:rsidRPr="00981134">
              <w:t>Teste genético mody - Captura/Amplificação e subsequente sequenciamento de regiões genômicas</w:t>
            </w:r>
          </w:p>
        </w:tc>
        <w:tc>
          <w:tcPr>
            <w:tcW w:w="2415" w:type="dxa"/>
            <w:vAlign w:val="center"/>
          </w:tcPr>
          <w:p w14:paraId="4FB5EF5B" w14:textId="025408A0" w:rsidR="008238E6" w:rsidRPr="00981134" w:rsidRDefault="00046A0A">
            <w:pPr>
              <w:spacing w:before="120" w:after="120"/>
              <w:jc w:val="center"/>
            </w:pPr>
            <w:r w:rsidRPr="00981134">
              <w:t>4.128,00</w:t>
            </w:r>
          </w:p>
        </w:tc>
        <w:tc>
          <w:tcPr>
            <w:tcW w:w="2640" w:type="dxa"/>
            <w:vAlign w:val="center"/>
          </w:tcPr>
          <w:p w14:paraId="4FB5EF5C" w14:textId="77777777" w:rsidR="008238E6" w:rsidRPr="00981134" w:rsidRDefault="00D61AB3">
            <w:pPr>
              <w:spacing w:before="120" w:after="120"/>
              <w:jc w:val="center"/>
            </w:pPr>
            <w:r w:rsidRPr="00981134">
              <w:t>NA</w:t>
            </w:r>
          </w:p>
        </w:tc>
        <w:tc>
          <w:tcPr>
            <w:tcW w:w="2340" w:type="dxa"/>
            <w:vAlign w:val="center"/>
          </w:tcPr>
          <w:p w14:paraId="7787312F" w14:textId="24508929" w:rsidR="00046A0A" w:rsidRDefault="712DF663" w:rsidP="00046A0A">
            <w:pPr>
              <w:spacing w:before="120" w:after="120"/>
              <w:jc w:val="center"/>
            </w:pPr>
            <w:r>
              <w:t xml:space="preserve">O código CBHPM </w:t>
            </w:r>
            <w:r w:rsidR="00AD6AC5">
              <w:t>referenciado</w:t>
            </w:r>
            <w:r>
              <w:t xml:space="preserve"> pelo proponente </w:t>
            </w:r>
            <w:r w:rsidR="63E192EC">
              <w:t>–</w:t>
            </w:r>
            <w:r>
              <w:t xml:space="preserve"> 40503895</w:t>
            </w:r>
            <w:r w:rsidR="63E192EC">
              <w:t xml:space="preserve"> (Captura/Amplificação e subsequente sequenciamento de regiões genômicas DE MAIS DE 30 MEGABASES DE DNA TUMORAL PARA ANÁLISE DE MUTAÇÕES SOMÁTICAS por qualquer técnica de sequenciamento (Sanger ou qualquer forma de sequenciamento de nova geração – NGS); INCLUI EXOMA TUMORAL)</w:t>
            </w:r>
            <w:r>
              <w:t xml:space="preserve"> não se aplica para a tecnologia em avaliação</w:t>
            </w:r>
            <w:r w:rsidR="7A775DD1">
              <w:t>,</w:t>
            </w:r>
            <w:r w:rsidR="174F0CFD">
              <w:t xml:space="preserve"> pois é referente </w:t>
            </w:r>
            <w:r w:rsidR="452DF5B2">
              <w:t xml:space="preserve">a </w:t>
            </w:r>
            <w:r w:rsidR="5CF35634">
              <w:t>DNA</w:t>
            </w:r>
            <w:r w:rsidR="452DF5B2">
              <w:t xml:space="preserve"> tumoral.</w:t>
            </w:r>
          </w:p>
          <w:p w14:paraId="1876C15A" w14:textId="77777777" w:rsidR="00046A0A" w:rsidRDefault="00046A0A" w:rsidP="00046A0A">
            <w:pPr>
              <w:spacing w:before="120" w:after="120"/>
              <w:jc w:val="center"/>
            </w:pPr>
          </w:p>
          <w:p w14:paraId="4FB5EF5E" w14:textId="57923F49" w:rsidR="008238E6" w:rsidRPr="003145D6" w:rsidRDefault="00046A0A" w:rsidP="00046A0A">
            <w:pPr>
              <w:spacing w:before="120" w:after="120"/>
              <w:jc w:val="center"/>
              <w:rPr>
                <w:highlight w:val="yellow"/>
              </w:rPr>
            </w:pPr>
            <w:r>
              <w:t xml:space="preserve">Na falta de um código específico na CBHPM, foi utilizado </w:t>
            </w:r>
            <w:r w:rsidR="004B368B">
              <w:t>para</w:t>
            </w:r>
            <w:r>
              <w:t xml:space="preserve"> estimativa</w:t>
            </w:r>
            <w:r w:rsidR="002F24AA">
              <w:t>,</w:t>
            </w:r>
            <w:r>
              <w:t xml:space="preserve"> o preço médio apurado em 3 laboratórios para realização do painel genético para diagnóstico de diabetes tipo MODY</w:t>
            </w:r>
            <w:r w:rsidR="00AD6AC5">
              <w:t>.</w:t>
            </w:r>
            <w:r>
              <w:t xml:space="preserve"> </w:t>
            </w:r>
          </w:p>
        </w:tc>
      </w:tr>
    </w:tbl>
    <w:p w14:paraId="4FB5EF65" w14:textId="77777777" w:rsidR="008238E6" w:rsidRDefault="008238E6"/>
    <w:tbl>
      <w:tblPr>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072"/>
      </w:tblGrid>
      <w:tr w:rsidR="008238E6" w14:paraId="4FB5EF67" w14:textId="77777777" w:rsidTr="3EF7B8AA">
        <w:trPr>
          <w:trHeight w:val="416"/>
        </w:trPr>
        <w:tc>
          <w:tcPr>
            <w:tcW w:w="9072" w:type="dxa"/>
            <w:shd w:val="clear" w:color="auto" w:fill="D9E2F3"/>
          </w:tcPr>
          <w:p w14:paraId="4FB5EF66" w14:textId="77777777" w:rsidR="008238E6" w:rsidRDefault="00D61AB3">
            <w:pPr>
              <w:spacing w:before="0"/>
              <w:jc w:val="center"/>
              <w:rPr>
                <w:b/>
              </w:rPr>
            </w:pPr>
            <w:r>
              <w:rPr>
                <w:b/>
              </w:rPr>
              <w:t>Comentários principais sobre os parâmetros de custo e fontes de dados</w:t>
            </w:r>
          </w:p>
        </w:tc>
      </w:tr>
      <w:tr w:rsidR="008238E6" w14:paraId="4FB5EF70" w14:textId="77777777" w:rsidTr="3EF7B8AA">
        <w:trPr>
          <w:trHeight w:val="750"/>
        </w:trPr>
        <w:tc>
          <w:tcPr>
            <w:tcW w:w="9072" w:type="dxa"/>
          </w:tcPr>
          <w:p w14:paraId="4FB5EF68" w14:textId="77777777" w:rsidR="008238E6" w:rsidRPr="00C57885" w:rsidRDefault="00D61AB3">
            <w:pPr>
              <w:shd w:val="clear" w:color="auto" w:fill="FFFFFF"/>
              <w:spacing w:before="200" w:after="200"/>
            </w:pPr>
            <w:r>
              <w:t xml:space="preserve">Problemas na Valoração </w:t>
            </w:r>
            <w:r w:rsidRPr="00C57885">
              <w:t>dos Custos:</w:t>
            </w:r>
          </w:p>
          <w:p w14:paraId="4FB5EF69" w14:textId="77777777" w:rsidR="008238E6" w:rsidRPr="00C57885" w:rsidRDefault="00D61AB3" w:rsidP="00C57885">
            <w:pPr>
              <w:shd w:val="clear" w:color="auto" w:fill="FFFFFF"/>
              <w:spacing w:before="200" w:after="200"/>
            </w:pPr>
            <w:r w:rsidRPr="00C57885">
              <w:t>Valoração dos custos no cenário sem teste genético: a valoração dos custos no cenário sem o teste genético foi baseada na frequência de consultas clínicas e complicações, que supostamente diferiram entre pacientes testados e não-testados. Contudo, a diferença de efetividade em termos de redução de complicações com o uso do teste genético não é bem estabelecida, sendo um pressuposto incerto e difícil de validar clinicamente.</w:t>
            </w:r>
          </w:p>
          <w:p w14:paraId="78EBCC71" w14:textId="04C565E5" w:rsidR="00C3558D" w:rsidRDefault="00D61AB3" w:rsidP="3EF7B8AA">
            <w:pPr>
              <w:shd w:val="clear" w:color="auto" w:fill="FFFFFF" w:themeFill="background1"/>
              <w:spacing w:before="200" w:after="200"/>
            </w:pPr>
            <w:r>
              <w:t xml:space="preserve">Custo do teste genético: O custo do teste utilizado na análise baseia-se em uma valoração genérica calculada pela CBHPM 2021. Não fica claro se o PROPONENTE sugere que este valor seja utilizado para reembolso em caso de inclusão do teste no rol, nem se há previsão de reajuste desse valor conforme futuras atualizações da CBHPM. </w:t>
            </w:r>
            <w:r w:rsidR="4BE61B27">
              <w:t>No entanto, o código CBHPM refer</w:t>
            </w:r>
            <w:r w:rsidR="12093D9E">
              <w:t>e</w:t>
            </w:r>
            <w:r w:rsidR="4BE61B27">
              <w:t>nciado pelo proponente – 40503895 (Captura/Amplificação e subsequente sequenciamento de regiões genômicas DE MAIS DE 30 MEGABASES DE DNA TUMORAL PARA ANÁLISE DE MUTAÇÕES SOMÁTICAS por qualquer técnica de sequenciamento (Sanger ou qualquer forma de sequenciamento de nova geração – NGS); INCLUI EXOMA TUMORAL) não se aplica para a tecnologia em avaliação</w:t>
            </w:r>
            <w:r w:rsidR="2E791476">
              <w:t>,</w:t>
            </w:r>
            <w:r w:rsidR="4BE61B27">
              <w:t xml:space="preserve"> pois é referente a </w:t>
            </w:r>
            <w:r w:rsidR="40BB4667">
              <w:t>DNA</w:t>
            </w:r>
            <w:r w:rsidR="4BE61B27">
              <w:t xml:space="preserve"> tumoral.</w:t>
            </w:r>
          </w:p>
          <w:p w14:paraId="4FB5EF6B" w14:textId="77777777" w:rsidR="008238E6" w:rsidRDefault="00D61AB3">
            <w:pPr>
              <w:shd w:val="clear" w:color="auto" w:fill="FFFFFF"/>
              <w:spacing w:before="0" w:after="200"/>
            </w:pPr>
            <w:r>
              <w:t>Ajustes realizados pelo parecerista:</w:t>
            </w:r>
          </w:p>
          <w:p w14:paraId="4FB5EF6D" w14:textId="3DF3E7FF" w:rsidR="008B3D1B" w:rsidRDefault="00D61AB3" w:rsidP="008B3D1B">
            <w:pPr>
              <w:numPr>
                <w:ilvl w:val="0"/>
                <w:numId w:val="14"/>
              </w:numPr>
              <w:spacing w:before="120" w:after="120"/>
            </w:pPr>
            <w:r>
              <w:t>O PARECERISTA se ateve aos custos imediatos da tecnologia (valor de custo do procedimento), com</w:t>
            </w:r>
            <w:r w:rsidR="5562C5C6">
              <w:t xml:space="preserve"> o</w:t>
            </w:r>
            <w:r>
              <w:t xml:space="preserve"> objetivo de que o impacto orçamentário calculado seja incremental ao que já existe no rol para identificação da doença.</w:t>
            </w:r>
          </w:p>
          <w:p w14:paraId="4FB5EF6F" w14:textId="5B197F9A" w:rsidR="008238E6" w:rsidRDefault="007E71DE">
            <w:pPr>
              <w:numPr>
                <w:ilvl w:val="0"/>
                <w:numId w:val="14"/>
              </w:numPr>
              <w:spacing w:before="120" w:after="120"/>
            </w:pPr>
            <w:r>
              <w:t>N</w:t>
            </w:r>
            <w:r w:rsidRPr="00C57885">
              <w:t>a falta de um código específico na CBHPM, foi utilizado para estimativa, o preço médio apura</w:t>
            </w:r>
            <w:r w:rsidRPr="00B04ABD">
              <w:t>do em 3 laboratórios para realização do painel genético para diagnóstico de diabetes tipo MODY</w:t>
            </w:r>
            <w:r w:rsidR="0084044B">
              <w:t>.</w:t>
            </w:r>
          </w:p>
        </w:tc>
      </w:tr>
    </w:tbl>
    <w:p w14:paraId="4FB5EF71" w14:textId="77777777" w:rsidR="008238E6" w:rsidRDefault="008238E6">
      <w:pPr>
        <w:rPr>
          <w:b/>
        </w:rPr>
      </w:pPr>
    </w:p>
    <w:p w14:paraId="4FB5EF72" w14:textId="77777777" w:rsidR="008238E6" w:rsidRDefault="00D61AB3">
      <w:pPr>
        <w:pStyle w:val="Heading4"/>
      </w:pPr>
      <w:r>
        <w:rPr>
          <w:b/>
        </w:rPr>
        <w:t>Quadro 33.</w:t>
      </w:r>
      <w:r>
        <w:t xml:space="preserve"> Impacto orçamentário total (versão do PROPONENTE e do PARECERISTA).</w:t>
      </w:r>
    </w:p>
    <w:tbl>
      <w:tblPr>
        <w:tblStyle w:val="affffffff1"/>
        <w:tblW w:w="870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60"/>
        <w:gridCol w:w="3150"/>
        <w:gridCol w:w="3990"/>
      </w:tblGrid>
      <w:tr w:rsidR="008238E6" w14:paraId="4FB5EF74" w14:textId="77777777">
        <w:tc>
          <w:tcPr>
            <w:tcW w:w="8700" w:type="dxa"/>
            <w:gridSpan w:val="3"/>
            <w:shd w:val="clear" w:color="auto" w:fill="D9E2F3"/>
            <w:vAlign w:val="center"/>
          </w:tcPr>
          <w:p w14:paraId="4FB5EF73" w14:textId="77777777" w:rsidR="008238E6" w:rsidRDefault="00D61AB3">
            <w:pPr>
              <w:spacing w:before="60" w:after="60"/>
              <w:jc w:val="center"/>
              <w:rPr>
                <w:b/>
                <w:highlight w:val="yellow"/>
              </w:rPr>
            </w:pPr>
            <w:r>
              <w:rPr>
                <w:b/>
              </w:rPr>
              <w:t>Proponente</w:t>
            </w:r>
          </w:p>
        </w:tc>
      </w:tr>
      <w:tr w:rsidR="008238E6" w14:paraId="4FB5EF78" w14:textId="77777777">
        <w:tc>
          <w:tcPr>
            <w:tcW w:w="1560" w:type="dxa"/>
            <w:shd w:val="clear" w:color="auto" w:fill="D9E2F3"/>
            <w:vAlign w:val="center"/>
          </w:tcPr>
          <w:p w14:paraId="4FB5EF75" w14:textId="77777777" w:rsidR="008238E6" w:rsidRDefault="00D61AB3">
            <w:pPr>
              <w:spacing w:before="60" w:after="60"/>
              <w:jc w:val="center"/>
              <w:rPr>
                <w:b/>
              </w:rPr>
            </w:pPr>
            <w:r>
              <w:rPr>
                <w:b/>
              </w:rPr>
              <w:t>Período</w:t>
            </w:r>
          </w:p>
        </w:tc>
        <w:tc>
          <w:tcPr>
            <w:tcW w:w="3150" w:type="dxa"/>
            <w:shd w:val="clear" w:color="auto" w:fill="D9E2F3"/>
          </w:tcPr>
          <w:p w14:paraId="4FB5EF76" w14:textId="77777777" w:rsidR="008238E6" w:rsidRDefault="00D61AB3">
            <w:pPr>
              <w:spacing w:before="60" w:after="60"/>
              <w:jc w:val="center"/>
              <w:rPr>
                <w:b/>
              </w:rPr>
            </w:pPr>
            <w:r>
              <w:rPr>
                <w:b/>
              </w:rPr>
              <w:t>Cenário de Referência</w:t>
            </w:r>
          </w:p>
        </w:tc>
        <w:tc>
          <w:tcPr>
            <w:tcW w:w="3990" w:type="dxa"/>
            <w:shd w:val="clear" w:color="auto" w:fill="D9E2F3"/>
          </w:tcPr>
          <w:p w14:paraId="4FB5EF77" w14:textId="77777777" w:rsidR="008238E6" w:rsidRDefault="00D61AB3">
            <w:pPr>
              <w:spacing w:before="60" w:after="60"/>
              <w:jc w:val="center"/>
              <w:rPr>
                <w:b/>
              </w:rPr>
            </w:pPr>
            <w:r>
              <w:rPr>
                <w:b/>
              </w:rPr>
              <w:t>Cenário 1</w:t>
            </w:r>
          </w:p>
        </w:tc>
      </w:tr>
      <w:tr w:rsidR="008238E6" w14:paraId="4FB5EF7C" w14:textId="77777777">
        <w:tc>
          <w:tcPr>
            <w:tcW w:w="1560" w:type="dxa"/>
            <w:vAlign w:val="center"/>
          </w:tcPr>
          <w:p w14:paraId="4FB5EF79" w14:textId="77777777" w:rsidR="008238E6" w:rsidRDefault="00D61AB3">
            <w:pPr>
              <w:spacing w:before="120" w:after="120"/>
              <w:jc w:val="center"/>
              <w:rPr>
                <w:sz w:val="20"/>
                <w:szCs w:val="20"/>
              </w:rPr>
            </w:pPr>
            <w:r>
              <w:rPr>
                <w:sz w:val="20"/>
                <w:szCs w:val="20"/>
              </w:rPr>
              <w:t>2024</w:t>
            </w:r>
          </w:p>
        </w:tc>
        <w:tc>
          <w:tcPr>
            <w:tcW w:w="3150" w:type="dxa"/>
            <w:vAlign w:val="center"/>
          </w:tcPr>
          <w:p w14:paraId="4FB5EF7A" w14:textId="77777777" w:rsidR="008238E6" w:rsidRDefault="00D61AB3">
            <w:pPr>
              <w:spacing w:before="60" w:after="60"/>
              <w:jc w:val="center"/>
            </w:pPr>
            <w:r>
              <w:t>R$ 2.216.919,44</w:t>
            </w:r>
          </w:p>
        </w:tc>
        <w:tc>
          <w:tcPr>
            <w:tcW w:w="3990" w:type="dxa"/>
            <w:vAlign w:val="center"/>
          </w:tcPr>
          <w:p w14:paraId="4FB5EF7B" w14:textId="77777777" w:rsidR="008238E6" w:rsidRDefault="00D61AB3">
            <w:pPr>
              <w:spacing w:before="60" w:after="60"/>
              <w:jc w:val="center"/>
            </w:pPr>
            <w:r>
              <w:t>R$ 53.303.379,41</w:t>
            </w:r>
          </w:p>
        </w:tc>
      </w:tr>
      <w:tr w:rsidR="008238E6" w14:paraId="4FB5EF80" w14:textId="77777777">
        <w:tc>
          <w:tcPr>
            <w:tcW w:w="1560" w:type="dxa"/>
            <w:vAlign w:val="center"/>
          </w:tcPr>
          <w:p w14:paraId="4FB5EF7D" w14:textId="77777777" w:rsidR="008238E6" w:rsidRDefault="00D61AB3">
            <w:pPr>
              <w:spacing w:before="120" w:after="120"/>
              <w:jc w:val="center"/>
              <w:rPr>
                <w:sz w:val="20"/>
                <w:szCs w:val="20"/>
              </w:rPr>
            </w:pPr>
            <w:r>
              <w:rPr>
                <w:sz w:val="20"/>
                <w:szCs w:val="20"/>
              </w:rPr>
              <w:t>2025</w:t>
            </w:r>
          </w:p>
        </w:tc>
        <w:tc>
          <w:tcPr>
            <w:tcW w:w="3150" w:type="dxa"/>
            <w:vAlign w:val="center"/>
          </w:tcPr>
          <w:p w14:paraId="4FB5EF7E" w14:textId="77777777" w:rsidR="008238E6" w:rsidRDefault="00D61AB3">
            <w:pPr>
              <w:spacing w:before="60" w:after="60"/>
              <w:jc w:val="center"/>
            </w:pPr>
            <w:r>
              <w:t>R$ 2.223.919,22</w:t>
            </w:r>
          </w:p>
        </w:tc>
        <w:tc>
          <w:tcPr>
            <w:tcW w:w="3990" w:type="dxa"/>
            <w:vAlign w:val="center"/>
          </w:tcPr>
          <w:p w14:paraId="4FB5EF7F" w14:textId="77777777" w:rsidR="008238E6" w:rsidRDefault="00D61AB3">
            <w:pPr>
              <w:spacing w:before="60" w:after="60"/>
              <w:jc w:val="center"/>
            </w:pPr>
            <w:r>
              <w:t>R$ 49.454.609,08</w:t>
            </w:r>
          </w:p>
        </w:tc>
      </w:tr>
      <w:tr w:rsidR="008238E6" w14:paraId="4FB5EF84" w14:textId="77777777">
        <w:tc>
          <w:tcPr>
            <w:tcW w:w="1560" w:type="dxa"/>
            <w:vAlign w:val="center"/>
          </w:tcPr>
          <w:p w14:paraId="4FB5EF81" w14:textId="77777777" w:rsidR="008238E6" w:rsidRDefault="00D61AB3">
            <w:pPr>
              <w:spacing w:before="120" w:after="120"/>
              <w:jc w:val="center"/>
              <w:rPr>
                <w:sz w:val="20"/>
                <w:szCs w:val="20"/>
              </w:rPr>
            </w:pPr>
            <w:r>
              <w:rPr>
                <w:sz w:val="20"/>
                <w:szCs w:val="20"/>
              </w:rPr>
              <w:t>2026</w:t>
            </w:r>
          </w:p>
        </w:tc>
        <w:tc>
          <w:tcPr>
            <w:tcW w:w="3150" w:type="dxa"/>
            <w:vAlign w:val="center"/>
          </w:tcPr>
          <w:p w14:paraId="4FB5EF82" w14:textId="77777777" w:rsidR="008238E6" w:rsidRDefault="00D61AB3">
            <w:pPr>
              <w:spacing w:before="60" w:after="60"/>
              <w:jc w:val="center"/>
            </w:pPr>
            <w:r>
              <w:t>R$ 2.230.641,24</w:t>
            </w:r>
          </w:p>
        </w:tc>
        <w:tc>
          <w:tcPr>
            <w:tcW w:w="3990" w:type="dxa"/>
            <w:vAlign w:val="center"/>
          </w:tcPr>
          <w:p w14:paraId="4FB5EF83" w14:textId="77777777" w:rsidR="008238E6" w:rsidRDefault="00D61AB3">
            <w:pPr>
              <w:spacing w:before="60" w:after="60"/>
              <w:jc w:val="center"/>
            </w:pPr>
            <w:r>
              <w:t>R$ 29.886.022,85</w:t>
            </w:r>
          </w:p>
        </w:tc>
      </w:tr>
      <w:tr w:rsidR="008238E6" w14:paraId="4FB5EF88" w14:textId="77777777">
        <w:tc>
          <w:tcPr>
            <w:tcW w:w="1560" w:type="dxa"/>
            <w:vAlign w:val="center"/>
          </w:tcPr>
          <w:p w14:paraId="4FB5EF85" w14:textId="77777777" w:rsidR="008238E6" w:rsidRDefault="00D61AB3">
            <w:pPr>
              <w:spacing w:before="120" w:after="120"/>
              <w:jc w:val="center"/>
              <w:rPr>
                <w:sz w:val="20"/>
                <w:szCs w:val="20"/>
              </w:rPr>
            </w:pPr>
            <w:r>
              <w:rPr>
                <w:sz w:val="20"/>
                <w:szCs w:val="20"/>
              </w:rPr>
              <w:t>2027</w:t>
            </w:r>
          </w:p>
        </w:tc>
        <w:tc>
          <w:tcPr>
            <w:tcW w:w="3150" w:type="dxa"/>
            <w:vAlign w:val="center"/>
          </w:tcPr>
          <w:p w14:paraId="4FB5EF86" w14:textId="77777777" w:rsidR="008238E6" w:rsidRDefault="00D61AB3">
            <w:pPr>
              <w:spacing w:before="60" w:after="60"/>
              <w:jc w:val="center"/>
            </w:pPr>
            <w:r>
              <w:t>R$ 2.237.077,34</w:t>
            </w:r>
          </w:p>
        </w:tc>
        <w:tc>
          <w:tcPr>
            <w:tcW w:w="3990" w:type="dxa"/>
            <w:vAlign w:val="center"/>
          </w:tcPr>
          <w:p w14:paraId="4FB5EF87" w14:textId="77777777" w:rsidR="008238E6" w:rsidRDefault="00D61AB3">
            <w:pPr>
              <w:spacing w:before="60" w:after="60"/>
              <w:jc w:val="center"/>
            </w:pPr>
            <w:r>
              <w:t>R$ 18.135.800,19</w:t>
            </w:r>
          </w:p>
        </w:tc>
      </w:tr>
      <w:tr w:rsidR="008238E6" w14:paraId="4FB5EF8C" w14:textId="77777777">
        <w:tc>
          <w:tcPr>
            <w:tcW w:w="1560" w:type="dxa"/>
            <w:vAlign w:val="center"/>
          </w:tcPr>
          <w:p w14:paraId="4FB5EF89" w14:textId="77777777" w:rsidR="008238E6" w:rsidRDefault="00D61AB3">
            <w:pPr>
              <w:spacing w:before="120" w:after="120"/>
              <w:jc w:val="center"/>
              <w:rPr>
                <w:sz w:val="20"/>
                <w:szCs w:val="20"/>
              </w:rPr>
            </w:pPr>
            <w:r>
              <w:rPr>
                <w:sz w:val="20"/>
                <w:szCs w:val="20"/>
              </w:rPr>
              <w:t>2028</w:t>
            </w:r>
          </w:p>
        </w:tc>
        <w:tc>
          <w:tcPr>
            <w:tcW w:w="3150" w:type="dxa"/>
            <w:vAlign w:val="center"/>
          </w:tcPr>
          <w:p w14:paraId="4FB5EF8A" w14:textId="77777777" w:rsidR="008238E6" w:rsidRDefault="00D61AB3">
            <w:pPr>
              <w:spacing w:before="60" w:after="60"/>
              <w:jc w:val="center"/>
            </w:pPr>
            <w:r>
              <w:t>R$ 2.243.221,26</w:t>
            </w:r>
          </w:p>
        </w:tc>
        <w:tc>
          <w:tcPr>
            <w:tcW w:w="3990" w:type="dxa"/>
            <w:vAlign w:val="center"/>
          </w:tcPr>
          <w:p w14:paraId="4FB5EF8B" w14:textId="77777777" w:rsidR="008238E6" w:rsidRDefault="00D61AB3">
            <w:pPr>
              <w:spacing w:before="60" w:after="60"/>
              <w:jc w:val="center"/>
            </w:pPr>
            <w:r>
              <w:t>R$ 11.076.397,05</w:t>
            </w:r>
          </w:p>
        </w:tc>
      </w:tr>
      <w:tr w:rsidR="008238E6" w14:paraId="4FB5EF90" w14:textId="77777777">
        <w:tc>
          <w:tcPr>
            <w:tcW w:w="1560" w:type="dxa"/>
            <w:vAlign w:val="center"/>
          </w:tcPr>
          <w:p w14:paraId="4FB5EF8D" w14:textId="77777777" w:rsidR="008238E6" w:rsidRDefault="00D61AB3">
            <w:pPr>
              <w:spacing w:before="60" w:after="60"/>
              <w:jc w:val="center"/>
              <w:rPr>
                <w:b/>
              </w:rPr>
            </w:pPr>
            <w:r>
              <w:rPr>
                <w:b/>
              </w:rPr>
              <w:t>Total</w:t>
            </w:r>
          </w:p>
        </w:tc>
        <w:tc>
          <w:tcPr>
            <w:tcW w:w="3150" w:type="dxa"/>
            <w:vAlign w:val="center"/>
          </w:tcPr>
          <w:p w14:paraId="4FB5EF8E" w14:textId="77777777" w:rsidR="008238E6" w:rsidRDefault="00D61AB3">
            <w:pPr>
              <w:spacing w:before="60" w:after="60"/>
              <w:jc w:val="center"/>
              <w:rPr>
                <w:b/>
              </w:rPr>
            </w:pPr>
            <w:r>
              <w:rPr>
                <w:b/>
              </w:rPr>
              <w:t>R$ 11.151.778,50</w:t>
            </w:r>
          </w:p>
        </w:tc>
        <w:tc>
          <w:tcPr>
            <w:tcW w:w="3990" w:type="dxa"/>
            <w:vAlign w:val="center"/>
          </w:tcPr>
          <w:p w14:paraId="4FB5EF8F" w14:textId="77777777" w:rsidR="008238E6" w:rsidRDefault="00D61AB3">
            <w:pPr>
              <w:spacing w:before="60" w:after="60"/>
              <w:jc w:val="center"/>
              <w:rPr>
                <w:b/>
              </w:rPr>
            </w:pPr>
            <w:r>
              <w:rPr>
                <w:b/>
              </w:rPr>
              <w:t>R$ 161.856.208,59</w:t>
            </w:r>
          </w:p>
        </w:tc>
      </w:tr>
      <w:tr w:rsidR="008238E6" w14:paraId="4FB5EF92" w14:textId="77777777">
        <w:tc>
          <w:tcPr>
            <w:tcW w:w="8700" w:type="dxa"/>
            <w:gridSpan w:val="3"/>
            <w:shd w:val="clear" w:color="auto" w:fill="D9E2F3"/>
            <w:vAlign w:val="center"/>
          </w:tcPr>
          <w:p w14:paraId="4FB5EF91" w14:textId="77777777" w:rsidR="008238E6" w:rsidRDefault="00D61AB3">
            <w:pPr>
              <w:spacing w:before="60" w:after="60"/>
              <w:jc w:val="center"/>
              <w:rPr>
                <w:b/>
                <w:highlight w:val="yellow"/>
              </w:rPr>
            </w:pPr>
            <w:r>
              <w:rPr>
                <w:b/>
              </w:rPr>
              <w:t>Parecerista - Comparação com Diagnóstico Clínico usando calculadora MODY</w:t>
            </w:r>
          </w:p>
        </w:tc>
      </w:tr>
      <w:tr w:rsidR="008238E6" w14:paraId="4FB5EF97" w14:textId="77777777">
        <w:tc>
          <w:tcPr>
            <w:tcW w:w="1560" w:type="dxa"/>
            <w:shd w:val="clear" w:color="auto" w:fill="D9E2F3"/>
            <w:vAlign w:val="center"/>
          </w:tcPr>
          <w:p w14:paraId="4FB5EF93" w14:textId="77777777" w:rsidR="008238E6" w:rsidRDefault="00D61AB3">
            <w:pPr>
              <w:spacing w:before="60" w:after="60"/>
              <w:jc w:val="center"/>
              <w:rPr>
                <w:b/>
              </w:rPr>
            </w:pPr>
            <w:r>
              <w:rPr>
                <w:b/>
              </w:rPr>
              <w:t>Período</w:t>
            </w:r>
          </w:p>
        </w:tc>
        <w:tc>
          <w:tcPr>
            <w:tcW w:w="3150" w:type="dxa"/>
            <w:shd w:val="clear" w:color="auto" w:fill="D9E2F3"/>
          </w:tcPr>
          <w:p w14:paraId="4FB5EF94" w14:textId="01442599" w:rsidR="008238E6" w:rsidRDefault="00D61AB3">
            <w:pPr>
              <w:spacing w:before="60" w:after="60"/>
              <w:jc w:val="center"/>
              <w:rPr>
                <w:b/>
              </w:rPr>
            </w:pPr>
            <w:r>
              <w:rPr>
                <w:b/>
              </w:rPr>
              <w:t xml:space="preserve">Cenário de Referência </w:t>
            </w:r>
          </w:p>
        </w:tc>
        <w:tc>
          <w:tcPr>
            <w:tcW w:w="3990" w:type="dxa"/>
            <w:shd w:val="clear" w:color="auto" w:fill="D9E2F3"/>
          </w:tcPr>
          <w:p w14:paraId="4FB5EF95" w14:textId="146AA48A" w:rsidR="008238E6" w:rsidRDefault="00D61AB3">
            <w:pPr>
              <w:spacing w:before="60" w:after="60"/>
              <w:jc w:val="center"/>
              <w:rPr>
                <w:b/>
              </w:rPr>
            </w:pPr>
            <w:r>
              <w:rPr>
                <w:b/>
              </w:rPr>
              <w:t xml:space="preserve">Cenário </w:t>
            </w:r>
            <w:r w:rsidR="00185C72">
              <w:rPr>
                <w:b/>
              </w:rPr>
              <w:t>1</w:t>
            </w:r>
          </w:p>
          <w:p w14:paraId="4FB5EF96" w14:textId="2891ED2A" w:rsidR="008238E6" w:rsidRDefault="008238E6" w:rsidP="00E74545">
            <w:pPr>
              <w:spacing w:before="120" w:after="120"/>
              <w:rPr>
                <w:b/>
              </w:rPr>
            </w:pPr>
          </w:p>
        </w:tc>
      </w:tr>
      <w:tr w:rsidR="004C24C2" w14:paraId="4FB5EF9C" w14:textId="77777777" w:rsidTr="00657E68">
        <w:tc>
          <w:tcPr>
            <w:tcW w:w="1560" w:type="dxa"/>
            <w:vAlign w:val="center"/>
          </w:tcPr>
          <w:p w14:paraId="4FB5EF98" w14:textId="77777777" w:rsidR="004C24C2" w:rsidRDefault="004C24C2" w:rsidP="004C24C2">
            <w:pPr>
              <w:spacing w:before="120" w:after="120"/>
              <w:jc w:val="center"/>
              <w:rPr>
                <w:sz w:val="20"/>
                <w:szCs w:val="20"/>
              </w:rPr>
            </w:pPr>
            <w:r>
              <w:rPr>
                <w:sz w:val="20"/>
                <w:szCs w:val="20"/>
              </w:rPr>
              <w:t>2024</w:t>
            </w:r>
          </w:p>
        </w:tc>
        <w:tc>
          <w:tcPr>
            <w:tcW w:w="3150" w:type="dxa"/>
          </w:tcPr>
          <w:p w14:paraId="4FB5EF99" w14:textId="499963EB" w:rsidR="004C24C2" w:rsidRDefault="004C24C2" w:rsidP="004C24C2">
            <w:pPr>
              <w:spacing w:before="60" w:after="60"/>
              <w:jc w:val="center"/>
            </w:pPr>
            <w:r>
              <w:t xml:space="preserve">R$ - </w:t>
            </w:r>
          </w:p>
        </w:tc>
        <w:tc>
          <w:tcPr>
            <w:tcW w:w="3990" w:type="dxa"/>
            <w:vAlign w:val="bottom"/>
          </w:tcPr>
          <w:p w14:paraId="4FB5EF9B" w14:textId="44B5F529" w:rsidR="004C24C2" w:rsidRPr="00083007" w:rsidRDefault="004C24C2" w:rsidP="00083007">
            <w:pPr>
              <w:spacing w:before="60" w:after="60"/>
            </w:pPr>
            <w:r w:rsidRPr="00083007">
              <w:t xml:space="preserve">                     </w:t>
            </w:r>
            <w:r w:rsidR="005C0773">
              <w:t>R$</w:t>
            </w:r>
            <w:r w:rsidRPr="00083007">
              <w:t xml:space="preserve"> 199.738.752,26 </w:t>
            </w:r>
          </w:p>
        </w:tc>
      </w:tr>
      <w:tr w:rsidR="004C24C2" w14:paraId="4FB5EFA1" w14:textId="77777777" w:rsidTr="00657E68">
        <w:tc>
          <w:tcPr>
            <w:tcW w:w="1560" w:type="dxa"/>
            <w:vAlign w:val="center"/>
          </w:tcPr>
          <w:p w14:paraId="4FB5EF9D" w14:textId="77777777" w:rsidR="004C24C2" w:rsidRDefault="004C24C2" w:rsidP="004C24C2">
            <w:pPr>
              <w:spacing w:before="120" w:after="120"/>
              <w:jc w:val="center"/>
              <w:rPr>
                <w:sz w:val="20"/>
                <w:szCs w:val="20"/>
              </w:rPr>
            </w:pPr>
            <w:r>
              <w:rPr>
                <w:sz w:val="20"/>
                <w:szCs w:val="20"/>
              </w:rPr>
              <w:t>2025</w:t>
            </w:r>
          </w:p>
        </w:tc>
        <w:tc>
          <w:tcPr>
            <w:tcW w:w="3150" w:type="dxa"/>
          </w:tcPr>
          <w:p w14:paraId="4FB5EF9E" w14:textId="0CF55474" w:rsidR="004C24C2" w:rsidRDefault="004C24C2" w:rsidP="004C24C2">
            <w:pPr>
              <w:spacing w:before="60" w:after="60"/>
              <w:jc w:val="center"/>
            </w:pPr>
            <w:r>
              <w:t xml:space="preserve"> R$ - </w:t>
            </w:r>
          </w:p>
        </w:tc>
        <w:tc>
          <w:tcPr>
            <w:tcW w:w="3990" w:type="dxa"/>
            <w:vAlign w:val="bottom"/>
          </w:tcPr>
          <w:p w14:paraId="4FB5EFA0" w14:textId="0C737757" w:rsidR="004C24C2" w:rsidRPr="00083007" w:rsidRDefault="004C24C2" w:rsidP="00083007">
            <w:pPr>
              <w:spacing w:before="60" w:after="60"/>
            </w:pPr>
            <w:r w:rsidRPr="00083007">
              <w:t xml:space="preserve">                      </w:t>
            </w:r>
            <w:r w:rsidR="005C0773">
              <w:t>R$</w:t>
            </w:r>
            <w:r w:rsidRPr="00083007">
              <w:t xml:space="preserve"> 188.198.344,39 </w:t>
            </w:r>
          </w:p>
        </w:tc>
      </w:tr>
      <w:tr w:rsidR="004C24C2" w14:paraId="4FB5EFA6" w14:textId="77777777" w:rsidTr="00657E68">
        <w:tc>
          <w:tcPr>
            <w:tcW w:w="1560" w:type="dxa"/>
            <w:vAlign w:val="center"/>
          </w:tcPr>
          <w:p w14:paraId="4FB5EFA2" w14:textId="77777777" w:rsidR="004C24C2" w:rsidRDefault="004C24C2" w:rsidP="004C24C2">
            <w:pPr>
              <w:spacing w:before="120" w:after="120"/>
              <w:jc w:val="center"/>
              <w:rPr>
                <w:sz w:val="20"/>
                <w:szCs w:val="20"/>
              </w:rPr>
            </w:pPr>
            <w:r>
              <w:rPr>
                <w:sz w:val="20"/>
                <w:szCs w:val="20"/>
              </w:rPr>
              <w:t>2026</w:t>
            </w:r>
          </w:p>
        </w:tc>
        <w:tc>
          <w:tcPr>
            <w:tcW w:w="3150" w:type="dxa"/>
          </w:tcPr>
          <w:p w14:paraId="4FB5EFA3" w14:textId="62FCFA8C" w:rsidR="004C24C2" w:rsidRDefault="004C24C2" w:rsidP="004C24C2">
            <w:pPr>
              <w:spacing w:before="60" w:after="60"/>
              <w:jc w:val="center"/>
            </w:pPr>
            <w:r w:rsidRPr="00267B3B">
              <w:t>R$ -</w:t>
            </w:r>
          </w:p>
        </w:tc>
        <w:tc>
          <w:tcPr>
            <w:tcW w:w="3990" w:type="dxa"/>
            <w:vAlign w:val="bottom"/>
          </w:tcPr>
          <w:p w14:paraId="4FB5EFA5" w14:textId="62BFD387" w:rsidR="004C24C2" w:rsidRPr="00083007" w:rsidRDefault="004C24C2" w:rsidP="00083007">
            <w:pPr>
              <w:spacing w:before="60" w:after="60"/>
            </w:pPr>
            <w:r w:rsidRPr="00083007">
              <w:t xml:space="preserve">                      </w:t>
            </w:r>
            <w:r w:rsidR="005C0773">
              <w:t xml:space="preserve">R$ </w:t>
            </w:r>
            <w:r w:rsidRPr="00083007">
              <w:t xml:space="preserve">143.237.585,84 </w:t>
            </w:r>
          </w:p>
        </w:tc>
      </w:tr>
      <w:tr w:rsidR="004C24C2" w14:paraId="4FB5EFAB" w14:textId="77777777" w:rsidTr="00657E68">
        <w:tc>
          <w:tcPr>
            <w:tcW w:w="1560" w:type="dxa"/>
            <w:vAlign w:val="center"/>
          </w:tcPr>
          <w:p w14:paraId="4FB5EFA7" w14:textId="77777777" w:rsidR="004C24C2" w:rsidRDefault="004C24C2" w:rsidP="004C24C2">
            <w:pPr>
              <w:spacing w:before="120" w:after="120"/>
              <w:jc w:val="center"/>
              <w:rPr>
                <w:sz w:val="20"/>
                <w:szCs w:val="20"/>
              </w:rPr>
            </w:pPr>
            <w:r>
              <w:rPr>
                <w:sz w:val="20"/>
                <w:szCs w:val="20"/>
              </w:rPr>
              <w:t>2027</w:t>
            </w:r>
          </w:p>
        </w:tc>
        <w:tc>
          <w:tcPr>
            <w:tcW w:w="3150" w:type="dxa"/>
          </w:tcPr>
          <w:p w14:paraId="4FB5EFA8" w14:textId="039F7EB7" w:rsidR="004C24C2" w:rsidRDefault="004C24C2" w:rsidP="004C24C2">
            <w:pPr>
              <w:spacing w:before="60" w:after="60"/>
              <w:jc w:val="center"/>
            </w:pPr>
            <w:r w:rsidRPr="00267B3B">
              <w:t>R$ -</w:t>
            </w:r>
          </w:p>
        </w:tc>
        <w:tc>
          <w:tcPr>
            <w:tcW w:w="3990" w:type="dxa"/>
            <w:vAlign w:val="bottom"/>
          </w:tcPr>
          <w:p w14:paraId="4FB5EFAA" w14:textId="722A7B0F" w:rsidR="004C24C2" w:rsidRPr="00083007" w:rsidRDefault="004C24C2" w:rsidP="00083007">
            <w:pPr>
              <w:spacing w:before="60" w:after="60"/>
            </w:pPr>
            <w:r w:rsidRPr="00083007">
              <w:t xml:space="preserve">                      </w:t>
            </w:r>
            <w:r w:rsidR="005C0773">
              <w:t xml:space="preserve">R$ </w:t>
            </w:r>
            <w:r w:rsidRPr="00083007">
              <w:t xml:space="preserve">88.287.738,44 </w:t>
            </w:r>
          </w:p>
        </w:tc>
      </w:tr>
      <w:tr w:rsidR="004C24C2" w14:paraId="4FB5EFB0" w14:textId="77777777" w:rsidTr="00657E68">
        <w:tc>
          <w:tcPr>
            <w:tcW w:w="1560" w:type="dxa"/>
            <w:vAlign w:val="center"/>
          </w:tcPr>
          <w:p w14:paraId="4FB5EFAC" w14:textId="77777777" w:rsidR="004C24C2" w:rsidRDefault="004C24C2" w:rsidP="004C24C2">
            <w:pPr>
              <w:spacing w:before="120" w:after="120"/>
              <w:jc w:val="center"/>
              <w:rPr>
                <w:sz w:val="20"/>
                <w:szCs w:val="20"/>
              </w:rPr>
            </w:pPr>
            <w:r>
              <w:rPr>
                <w:sz w:val="20"/>
                <w:szCs w:val="20"/>
              </w:rPr>
              <w:t>2028</w:t>
            </w:r>
          </w:p>
        </w:tc>
        <w:tc>
          <w:tcPr>
            <w:tcW w:w="3150" w:type="dxa"/>
          </w:tcPr>
          <w:p w14:paraId="4FB5EFAD" w14:textId="067F469D" w:rsidR="004C24C2" w:rsidRDefault="004C24C2" w:rsidP="004C24C2">
            <w:pPr>
              <w:spacing w:before="60" w:after="60"/>
              <w:jc w:val="center"/>
            </w:pPr>
            <w:r w:rsidRPr="00267B3B">
              <w:t>R$ -</w:t>
            </w:r>
          </w:p>
        </w:tc>
        <w:tc>
          <w:tcPr>
            <w:tcW w:w="3990" w:type="dxa"/>
            <w:vAlign w:val="bottom"/>
          </w:tcPr>
          <w:p w14:paraId="4FB5EFAF" w14:textId="6C471ABD" w:rsidR="004C24C2" w:rsidRPr="00083007" w:rsidRDefault="004C24C2" w:rsidP="00083007">
            <w:pPr>
              <w:spacing w:before="60" w:after="60"/>
            </w:pPr>
            <w:r w:rsidRPr="00083007">
              <w:t xml:space="preserve">                      </w:t>
            </w:r>
            <w:r w:rsidR="005C0773">
              <w:t xml:space="preserve">R$ </w:t>
            </w:r>
            <w:r w:rsidRPr="00083007">
              <w:t xml:space="preserve">43.742.198,99 </w:t>
            </w:r>
          </w:p>
        </w:tc>
      </w:tr>
      <w:tr w:rsidR="0084044B" w14:paraId="4FB5EFB5" w14:textId="77777777">
        <w:trPr>
          <w:trHeight w:val="732"/>
        </w:trPr>
        <w:tc>
          <w:tcPr>
            <w:tcW w:w="1560" w:type="dxa"/>
            <w:vAlign w:val="center"/>
          </w:tcPr>
          <w:p w14:paraId="4FB5EFB1" w14:textId="77777777" w:rsidR="0084044B" w:rsidRDefault="0084044B" w:rsidP="0084044B">
            <w:pPr>
              <w:spacing w:before="60" w:after="60"/>
              <w:jc w:val="center"/>
              <w:rPr>
                <w:b/>
              </w:rPr>
            </w:pPr>
            <w:r>
              <w:rPr>
                <w:b/>
              </w:rPr>
              <w:t>Total</w:t>
            </w:r>
          </w:p>
        </w:tc>
        <w:tc>
          <w:tcPr>
            <w:tcW w:w="3150" w:type="dxa"/>
          </w:tcPr>
          <w:p w14:paraId="4FB5EFB2" w14:textId="20F4CD1C" w:rsidR="0084044B" w:rsidRDefault="0084044B" w:rsidP="0084044B">
            <w:pPr>
              <w:spacing w:before="60" w:after="60"/>
              <w:jc w:val="center"/>
              <w:rPr>
                <w:b/>
              </w:rPr>
            </w:pPr>
            <w:r w:rsidRPr="00267B3B">
              <w:t>R$ -</w:t>
            </w:r>
          </w:p>
        </w:tc>
        <w:tc>
          <w:tcPr>
            <w:tcW w:w="3990" w:type="dxa"/>
            <w:vAlign w:val="center"/>
          </w:tcPr>
          <w:p w14:paraId="4FB5EFB3" w14:textId="46D703DC" w:rsidR="0084044B" w:rsidRDefault="0084044B" w:rsidP="0084044B">
            <w:pPr>
              <w:spacing w:before="60" w:after="60"/>
              <w:jc w:val="center"/>
              <w:rPr>
                <w:b/>
                <w:highlight w:val="white"/>
              </w:rPr>
            </w:pPr>
            <w:r>
              <w:rPr>
                <w:highlight w:val="white"/>
              </w:rPr>
              <w:t xml:space="preserve">R$ </w:t>
            </w:r>
            <w:r w:rsidR="001237D7" w:rsidRPr="001237D7">
              <w:t>663.204.619,91</w:t>
            </w:r>
          </w:p>
          <w:p w14:paraId="4FB5EFB4" w14:textId="77777777" w:rsidR="0084044B" w:rsidRDefault="0084044B" w:rsidP="0084044B">
            <w:pPr>
              <w:spacing w:before="60" w:after="60"/>
              <w:jc w:val="center"/>
              <w:rPr>
                <w:b/>
                <w:highlight w:val="white"/>
              </w:rPr>
            </w:pPr>
          </w:p>
        </w:tc>
      </w:tr>
    </w:tbl>
    <w:p w14:paraId="4FB5EFB6" w14:textId="77777777" w:rsidR="008238E6" w:rsidRDefault="00D61AB3">
      <w:pPr>
        <w:pStyle w:val="Heading4"/>
        <w:jc w:val="left"/>
      </w:pPr>
      <w:bookmarkStart w:id="75" w:name="_heading=h.v84az9nmguwm" w:colFirst="0" w:colLast="0"/>
      <w:bookmarkEnd w:id="75"/>
      <w:r>
        <w:br w:type="page"/>
      </w:r>
    </w:p>
    <w:tbl>
      <w:tblPr>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072"/>
      </w:tblGrid>
      <w:tr w:rsidR="008238E6" w14:paraId="4FB5EFDA" w14:textId="77777777">
        <w:trPr>
          <w:trHeight w:val="416"/>
        </w:trPr>
        <w:tc>
          <w:tcPr>
            <w:tcW w:w="9072" w:type="dxa"/>
            <w:shd w:val="clear" w:color="auto" w:fill="D9E2F3"/>
          </w:tcPr>
          <w:p w14:paraId="4FB5EFD9" w14:textId="77777777" w:rsidR="008238E6" w:rsidRDefault="00D61AB3">
            <w:pPr>
              <w:spacing w:before="120" w:after="120"/>
              <w:jc w:val="center"/>
              <w:rPr>
                <w:b/>
              </w:rPr>
            </w:pPr>
            <w:bookmarkStart w:id="76" w:name="_heading=h.f31t41mdoqxf" w:colFirst="0" w:colLast="0"/>
            <w:bookmarkEnd w:id="76"/>
            <w:r>
              <w:rPr>
                <w:b/>
              </w:rPr>
              <w:t xml:space="preserve">Comentários sobre o impacto orçamentário total </w:t>
            </w:r>
          </w:p>
        </w:tc>
      </w:tr>
      <w:tr w:rsidR="008238E6" w14:paraId="4FB5EFDD" w14:textId="77777777">
        <w:trPr>
          <w:trHeight w:val="750"/>
        </w:trPr>
        <w:tc>
          <w:tcPr>
            <w:tcW w:w="9072" w:type="dxa"/>
          </w:tcPr>
          <w:p w14:paraId="4FB5EFDC" w14:textId="24CC3F99" w:rsidR="008238E6" w:rsidRDefault="008238E6">
            <w:pPr>
              <w:pBdr>
                <w:top w:val="nil"/>
                <w:left w:val="nil"/>
                <w:bottom w:val="nil"/>
                <w:right w:val="nil"/>
                <w:between w:val="nil"/>
              </w:pBdr>
              <w:shd w:val="clear" w:color="auto" w:fill="FFFFFF"/>
              <w:spacing w:before="200" w:after="200"/>
            </w:pPr>
          </w:p>
        </w:tc>
      </w:tr>
    </w:tbl>
    <w:p w14:paraId="4FB5EFDF" w14:textId="4678DA88" w:rsidR="008238E6" w:rsidRDefault="008238E6">
      <w:pPr>
        <w:rPr>
          <w:b/>
        </w:rPr>
      </w:pPr>
    </w:p>
    <w:p w14:paraId="4FB5EFE0" w14:textId="77777777" w:rsidR="008238E6" w:rsidRDefault="00D61AB3">
      <w:pPr>
        <w:pStyle w:val="Heading4"/>
      </w:pPr>
      <w:bookmarkStart w:id="77" w:name="_heading=h.xf0io6srj3yt" w:colFirst="0" w:colLast="0"/>
      <w:bookmarkEnd w:id="77"/>
      <w:r>
        <w:rPr>
          <w:b/>
        </w:rPr>
        <w:t>Quadro 34.</w:t>
      </w:r>
      <w:r>
        <w:t xml:space="preserve"> Impacto orçamentário incremental (versão do PROPONENTE e do PARECERISTA).</w:t>
      </w:r>
    </w:p>
    <w:tbl>
      <w:tblPr>
        <w:tblW w:w="475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70" w:type="dxa"/>
          <w:right w:w="70" w:type="dxa"/>
        </w:tblCellMar>
        <w:tblLook w:val="0400" w:firstRow="0" w:lastRow="0" w:firstColumn="0" w:lastColumn="0" w:noHBand="0" w:noVBand="1"/>
      </w:tblPr>
      <w:tblGrid>
        <w:gridCol w:w="2115"/>
        <w:gridCol w:w="2640"/>
      </w:tblGrid>
      <w:tr w:rsidR="00364C52" w14:paraId="4FB5EFE6" w14:textId="77777777" w:rsidTr="00364C52">
        <w:trPr>
          <w:jc w:val="center"/>
        </w:trPr>
        <w:tc>
          <w:tcPr>
            <w:tcW w:w="2115" w:type="dxa"/>
            <w:shd w:val="clear" w:color="auto" w:fill="D9E2F3"/>
            <w:vAlign w:val="center"/>
          </w:tcPr>
          <w:p w14:paraId="4FB5EFE3" w14:textId="77777777" w:rsidR="00364C52" w:rsidRDefault="00364C52">
            <w:pPr>
              <w:spacing w:before="120" w:after="120"/>
              <w:jc w:val="center"/>
              <w:rPr>
                <w:b/>
              </w:rPr>
            </w:pPr>
            <w:r>
              <w:rPr>
                <w:b/>
              </w:rPr>
              <w:t>Período</w:t>
            </w:r>
          </w:p>
        </w:tc>
        <w:tc>
          <w:tcPr>
            <w:tcW w:w="2640" w:type="dxa"/>
            <w:shd w:val="clear" w:color="auto" w:fill="D9E2F3"/>
          </w:tcPr>
          <w:p w14:paraId="4FB5EFE4" w14:textId="77777777" w:rsidR="00364C52" w:rsidRDefault="00364C52">
            <w:pPr>
              <w:spacing w:before="120" w:after="120"/>
              <w:jc w:val="center"/>
              <w:rPr>
                <w:b/>
              </w:rPr>
            </w:pPr>
            <w:r>
              <w:rPr>
                <w:b/>
              </w:rPr>
              <w:t>Cenário 1 – Referência</w:t>
            </w:r>
          </w:p>
        </w:tc>
      </w:tr>
      <w:tr w:rsidR="00364C52" w14:paraId="4FB5EFEA" w14:textId="77777777" w:rsidTr="00364C52">
        <w:trPr>
          <w:jc w:val="center"/>
        </w:trPr>
        <w:tc>
          <w:tcPr>
            <w:tcW w:w="2115" w:type="dxa"/>
            <w:vAlign w:val="center"/>
          </w:tcPr>
          <w:p w14:paraId="4FB5EFE7" w14:textId="77777777" w:rsidR="00364C52" w:rsidRDefault="00364C52">
            <w:pPr>
              <w:spacing w:before="120" w:after="120"/>
              <w:jc w:val="center"/>
              <w:rPr>
                <w:sz w:val="20"/>
                <w:szCs w:val="20"/>
              </w:rPr>
            </w:pPr>
            <w:r>
              <w:rPr>
                <w:sz w:val="20"/>
                <w:szCs w:val="20"/>
              </w:rPr>
              <w:t>2024</w:t>
            </w:r>
          </w:p>
        </w:tc>
        <w:tc>
          <w:tcPr>
            <w:tcW w:w="2640" w:type="dxa"/>
          </w:tcPr>
          <w:p w14:paraId="4FB5EFE8" w14:textId="77777777" w:rsidR="00364C52" w:rsidRDefault="00364C52">
            <w:pPr>
              <w:spacing w:before="120" w:after="120"/>
              <w:jc w:val="center"/>
            </w:pPr>
            <w:r>
              <w:t>R$ 51.086.459,97</w:t>
            </w:r>
          </w:p>
        </w:tc>
      </w:tr>
      <w:tr w:rsidR="00364C52" w14:paraId="4FB5EFEE" w14:textId="77777777" w:rsidTr="00364C52">
        <w:trPr>
          <w:jc w:val="center"/>
        </w:trPr>
        <w:tc>
          <w:tcPr>
            <w:tcW w:w="2115" w:type="dxa"/>
            <w:vAlign w:val="center"/>
          </w:tcPr>
          <w:p w14:paraId="4FB5EFEB" w14:textId="77777777" w:rsidR="00364C52" w:rsidRDefault="00364C52">
            <w:pPr>
              <w:spacing w:before="120" w:after="120"/>
              <w:jc w:val="center"/>
              <w:rPr>
                <w:sz w:val="20"/>
                <w:szCs w:val="20"/>
              </w:rPr>
            </w:pPr>
            <w:r>
              <w:rPr>
                <w:sz w:val="20"/>
                <w:szCs w:val="20"/>
              </w:rPr>
              <w:t>2025</w:t>
            </w:r>
          </w:p>
        </w:tc>
        <w:tc>
          <w:tcPr>
            <w:tcW w:w="2640" w:type="dxa"/>
          </w:tcPr>
          <w:p w14:paraId="4FB5EFEC" w14:textId="77777777" w:rsidR="00364C52" w:rsidRDefault="00364C52">
            <w:pPr>
              <w:spacing w:before="120" w:after="120"/>
              <w:jc w:val="center"/>
            </w:pPr>
            <w:r>
              <w:t>R$ 47.230.689,86</w:t>
            </w:r>
          </w:p>
        </w:tc>
      </w:tr>
      <w:tr w:rsidR="00364C52" w14:paraId="4FB5EFF2" w14:textId="77777777" w:rsidTr="00364C52">
        <w:trPr>
          <w:jc w:val="center"/>
        </w:trPr>
        <w:tc>
          <w:tcPr>
            <w:tcW w:w="2115" w:type="dxa"/>
            <w:vAlign w:val="center"/>
          </w:tcPr>
          <w:p w14:paraId="4FB5EFEF" w14:textId="77777777" w:rsidR="00364C52" w:rsidRDefault="00364C52">
            <w:pPr>
              <w:spacing w:before="120" w:after="120"/>
              <w:jc w:val="center"/>
              <w:rPr>
                <w:sz w:val="20"/>
                <w:szCs w:val="20"/>
              </w:rPr>
            </w:pPr>
            <w:r>
              <w:rPr>
                <w:sz w:val="20"/>
                <w:szCs w:val="20"/>
              </w:rPr>
              <w:t>2026</w:t>
            </w:r>
          </w:p>
        </w:tc>
        <w:tc>
          <w:tcPr>
            <w:tcW w:w="2640" w:type="dxa"/>
          </w:tcPr>
          <w:p w14:paraId="4FB5EFF0" w14:textId="77777777" w:rsidR="00364C52" w:rsidRDefault="00364C52">
            <w:pPr>
              <w:spacing w:before="120" w:after="120"/>
              <w:jc w:val="center"/>
            </w:pPr>
            <w:r>
              <w:t>R$ 27.655.381,61</w:t>
            </w:r>
          </w:p>
        </w:tc>
      </w:tr>
      <w:tr w:rsidR="00364C52" w14:paraId="4FB5EFF6" w14:textId="77777777" w:rsidTr="00364C52">
        <w:trPr>
          <w:jc w:val="center"/>
        </w:trPr>
        <w:tc>
          <w:tcPr>
            <w:tcW w:w="2115" w:type="dxa"/>
            <w:vAlign w:val="center"/>
          </w:tcPr>
          <w:p w14:paraId="4FB5EFF3" w14:textId="77777777" w:rsidR="00364C52" w:rsidRDefault="00364C52">
            <w:pPr>
              <w:spacing w:before="120" w:after="120"/>
              <w:jc w:val="center"/>
              <w:rPr>
                <w:sz w:val="20"/>
                <w:szCs w:val="20"/>
              </w:rPr>
            </w:pPr>
            <w:r>
              <w:rPr>
                <w:sz w:val="20"/>
                <w:szCs w:val="20"/>
              </w:rPr>
              <w:t>2027</w:t>
            </w:r>
          </w:p>
        </w:tc>
        <w:tc>
          <w:tcPr>
            <w:tcW w:w="2640" w:type="dxa"/>
          </w:tcPr>
          <w:p w14:paraId="4FB5EFF4" w14:textId="77777777" w:rsidR="00364C52" w:rsidRDefault="00364C52">
            <w:pPr>
              <w:spacing w:before="120" w:after="120"/>
              <w:jc w:val="center"/>
            </w:pPr>
            <w:r>
              <w:t>R$ 15.898.722,85</w:t>
            </w:r>
          </w:p>
        </w:tc>
      </w:tr>
      <w:tr w:rsidR="00364C52" w14:paraId="4FB5EFFA" w14:textId="77777777" w:rsidTr="00364C52">
        <w:trPr>
          <w:jc w:val="center"/>
        </w:trPr>
        <w:tc>
          <w:tcPr>
            <w:tcW w:w="2115" w:type="dxa"/>
            <w:vAlign w:val="center"/>
          </w:tcPr>
          <w:p w14:paraId="4FB5EFF7" w14:textId="77777777" w:rsidR="00364C52" w:rsidRDefault="00364C52">
            <w:pPr>
              <w:spacing w:before="120" w:after="120"/>
              <w:jc w:val="center"/>
              <w:rPr>
                <w:sz w:val="20"/>
                <w:szCs w:val="20"/>
              </w:rPr>
            </w:pPr>
            <w:r>
              <w:rPr>
                <w:sz w:val="20"/>
                <w:szCs w:val="20"/>
              </w:rPr>
              <w:t>2028</w:t>
            </w:r>
          </w:p>
        </w:tc>
        <w:tc>
          <w:tcPr>
            <w:tcW w:w="2640" w:type="dxa"/>
          </w:tcPr>
          <w:p w14:paraId="4FB5EFF8" w14:textId="77777777" w:rsidR="00364C52" w:rsidRDefault="00364C52">
            <w:pPr>
              <w:spacing w:before="120" w:after="120"/>
              <w:jc w:val="center"/>
            </w:pPr>
            <w:r>
              <w:t>R$ 8.833.175,79</w:t>
            </w:r>
          </w:p>
        </w:tc>
      </w:tr>
      <w:tr w:rsidR="00364C52" w14:paraId="4FB5EFFE" w14:textId="77777777" w:rsidTr="00364C52">
        <w:trPr>
          <w:jc w:val="center"/>
        </w:trPr>
        <w:tc>
          <w:tcPr>
            <w:tcW w:w="2115" w:type="dxa"/>
            <w:vAlign w:val="center"/>
          </w:tcPr>
          <w:p w14:paraId="4FB5EFFB" w14:textId="77777777" w:rsidR="00364C52" w:rsidRDefault="00364C52">
            <w:pPr>
              <w:spacing w:before="120" w:after="120"/>
              <w:jc w:val="center"/>
              <w:rPr>
                <w:b/>
              </w:rPr>
            </w:pPr>
            <w:r>
              <w:rPr>
                <w:b/>
              </w:rPr>
              <w:t>Total</w:t>
            </w:r>
          </w:p>
        </w:tc>
        <w:tc>
          <w:tcPr>
            <w:tcW w:w="2640" w:type="dxa"/>
          </w:tcPr>
          <w:p w14:paraId="4FB5EFFC" w14:textId="77777777" w:rsidR="00364C52" w:rsidRDefault="00364C52">
            <w:pPr>
              <w:spacing w:before="120" w:after="120"/>
              <w:jc w:val="center"/>
              <w:rPr>
                <w:b/>
              </w:rPr>
            </w:pPr>
            <w:r>
              <w:rPr>
                <w:b/>
              </w:rPr>
              <w:t>R$ 150.704.430,09</w:t>
            </w:r>
          </w:p>
        </w:tc>
      </w:tr>
      <w:tr w:rsidR="00364C52" w14:paraId="4FB5F002" w14:textId="77777777" w:rsidTr="00364C52">
        <w:trPr>
          <w:jc w:val="center"/>
        </w:trPr>
        <w:tc>
          <w:tcPr>
            <w:tcW w:w="2115" w:type="dxa"/>
            <w:vAlign w:val="center"/>
          </w:tcPr>
          <w:p w14:paraId="4FB5EFFF" w14:textId="77777777" w:rsidR="00364C52" w:rsidRDefault="00364C52">
            <w:pPr>
              <w:spacing w:before="120" w:after="120"/>
              <w:jc w:val="center"/>
              <w:rPr>
                <w:b/>
              </w:rPr>
            </w:pPr>
            <w:r>
              <w:rPr>
                <w:b/>
              </w:rPr>
              <w:t>Média</w:t>
            </w:r>
          </w:p>
        </w:tc>
        <w:tc>
          <w:tcPr>
            <w:tcW w:w="2640" w:type="dxa"/>
          </w:tcPr>
          <w:p w14:paraId="4FB5F000" w14:textId="39B8C22B" w:rsidR="00364C52" w:rsidRDefault="000F121D">
            <w:pPr>
              <w:spacing w:before="120" w:after="120"/>
              <w:jc w:val="center"/>
              <w:rPr>
                <w:b/>
              </w:rPr>
            </w:pPr>
            <w:r>
              <w:rPr>
                <w:b/>
              </w:rPr>
              <w:t xml:space="preserve">R$ </w:t>
            </w:r>
            <w:r w:rsidR="00364C52">
              <w:rPr>
                <w:b/>
              </w:rPr>
              <w:t>30.140.886,01</w:t>
            </w:r>
          </w:p>
        </w:tc>
      </w:tr>
      <w:tr w:rsidR="00364C52" w14:paraId="4FB5F008" w14:textId="77777777" w:rsidTr="00364C52">
        <w:trPr>
          <w:jc w:val="center"/>
        </w:trPr>
        <w:tc>
          <w:tcPr>
            <w:tcW w:w="2115" w:type="dxa"/>
            <w:shd w:val="clear" w:color="auto" w:fill="D9E2F3"/>
            <w:vAlign w:val="center"/>
          </w:tcPr>
          <w:p w14:paraId="4FB5F005" w14:textId="77777777" w:rsidR="00364C52" w:rsidRDefault="00364C52">
            <w:pPr>
              <w:spacing w:before="120" w:after="120"/>
              <w:jc w:val="center"/>
              <w:rPr>
                <w:b/>
              </w:rPr>
            </w:pPr>
            <w:bookmarkStart w:id="78" w:name="_heading=h.2zbgiuw" w:colFirst="0" w:colLast="0"/>
            <w:bookmarkEnd w:id="78"/>
            <w:r>
              <w:rPr>
                <w:b/>
              </w:rPr>
              <w:t>Período</w:t>
            </w:r>
          </w:p>
        </w:tc>
        <w:tc>
          <w:tcPr>
            <w:tcW w:w="2640" w:type="dxa"/>
            <w:shd w:val="clear" w:color="auto" w:fill="D9E2F3"/>
          </w:tcPr>
          <w:p w14:paraId="4FB5F006" w14:textId="1D8A54E5" w:rsidR="00364C52" w:rsidRDefault="00364C52">
            <w:pPr>
              <w:spacing w:before="120" w:after="120"/>
              <w:jc w:val="center"/>
              <w:rPr>
                <w:b/>
              </w:rPr>
            </w:pPr>
            <w:r>
              <w:rPr>
                <w:b/>
              </w:rPr>
              <w:t xml:space="preserve">Cenário 1 – Referência </w:t>
            </w:r>
          </w:p>
        </w:tc>
      </w:tr>
      <w:tr w:rsidR="00D56DD4" w14:paraId="4FB5F00C" w14:textId="77777777" w:rsidTr="00364C52">
        <w:trPr>
          <w:jc w:val="center"/>
        </w:trPr>
        <w:tc>
          <w:tcPr>
            <w:tcW w:w="2115" w:type="dxa"/>
            <w:vAlign w:val="center"/>
          </w:tcPr>
          <w:p w14:paraId="4FB5F009" w14:textId="77777777" w:rsidR="00D56DD4" w:rsidRDefault="00D56DD4" w:rsidP="00D56DD4">
            <w:pPr>
              <w:spacing w:before="120" w:after="120"/>
              <w:jc w:val="center"/>
              <w:rPr>
                <w:sz w:val="20"/>
                <w:szCs w:val="20"/>
              </w:rPr>
            </w:pPr>
            <w:r>
              <w:rPr>
                <w:sz w:val="20"/>
                <w:szCs w:val="20"/>
              </w:rPr>
              <w:t>2024</w:t>
            </w:r>
          </w:p>
        </w:tc>
        <w:tc>
          <w:tcPr>
            <w:tcW w:w="2640" w:type="dxa"/>
          </w:tcPr>
          <w:p w14:paraId="4FB5F00A" w14:textId="3326D3F1" w:rsidR="00D56DD4" w:rsidRDefault="00D56DD4" w:rsidP="00D56DD4">
            <w:pPr>
              <w:spacing w:before="120" w:after="120"/>
              <w:jc w:val="center"/>
              <w:rPr>
                <w:highlight w:val="white"/>
              </w:rPr>
            </w:pPr>
            <w:r w:rsidRPr="00D34CC6">
              <w:t xml:space="preserve">    R$ 199.738.752,26 </w:t>
            </w:r>
          </w:p>
        </w:tc>
      </w:tr>
      <w:tr w:rsidR="00D56DD4" w14:paraId="4FB5F010" w14:textId="77777777" w:rsidTr="00364C52">
        <w:trPr>
          <w:jc w:val="center"/>
        </w:trPr>
        <w:tc>
          <w:tcPr>
            <w:tcW w:w="2115" w:type="dxa"/>
            <w:vAlign w:val="center"/>
          </w:tcPr>
          <w:p w14:paraId="4FB5F00D" w14:textId="77777777" w:rsidR="00D56DD4" w:rsidRDefault="00D56DD4" w:rsidP="00D56DD4">
            <w:pPr>
              <w:spacing w:before="120" w:after="120"/>
              <w:jc w:val="center"/>
              <w:rPr>
                <w:sz w:val="20"/>
                <w:szCs w:val="20"/>
              </w:rPr>
            </w:pPr>
            <w:r>
              <w:rPr>
                <w:sz w:val="20"/>
                <w:szCs w:val="20"/>
              </w:rPr>
              <w:t>2025</w:t>
            </w:r>
          </w:p>
        </w:tc>
        <w:tc>
          <w:tcPr>
            <w:tcW w:w="2640" w:type="dxa"/>
          </w:tcPr>
          <w:p w14:paraId="4FB5F00E" w14:textId="774C7D2A" w:rsidR="00D56DD4" w:rsidRDefault="00D56DD4" w:rsidP="00D56DD4">
            <w:pPr>
              <w:spacing w:before="120" w:after="120"/>
              <w:jc w:val="center"/>
              <w:rPr>
                <w:highlight w:val="white"/>
              </w:rPr>
            </w:pPr>
            <w:r w:rsidRPr="00D34CC6">
              <w:t xml:space="preserve">   R$ 188.198.344,39 </w:t>
            </w:r>
          </w:p>
        </w:tc>
      </w:tr>
      <w:tr w:rsidR="00D56DD4" w14:paraId="4FB5F014" w14:textId="77777777" w:rsidTr="00364C52">
        <w:trPr>
          <w:jc w:val="center"/>
        </w:trPr>
        <w:tc>
          <w:tcPr>
            <w:tcW w:w="2115" w:type="dxa"/>
            <w:vAlign w:val="center"/>
          </w:tcPr>
          <w:p w14:paraId="4FB5F011" w14:textId="77777777" w:rsidR="00D56DD4" w:rsidRDefault="00D56DD4" w:rsidP="00D56DD4">
            <w:pPr>
              <w:spacing w:before="120" w:after="120"/>
              <w:jc w:val="center"/>
              <w:rPr>
                <w:sz w:val="20"/>
                <w:szCs w:val="20"/>
              </w:rPr>
            </w:pPr>
            <w:r>
              <w:rPr>
                <w:sz w:val="20"/>
                <w:szCs w:val="20"/>
              </w:rPr>
              <w:t>2026</w:t>
            </w:r>
          </w:p>
        </w:tc>
        <w:tc>
          <w:tcPr>
            <w:tcW w:w="2640" w:type="dxa"/>
          </w:tcPr>
          <w:p w14:paraId="4FB5F012" w14:textId="31299BE4" w:rsidR="00D56DD4" w:rsidRDefault="00D56DD4" w:rsidP="00D56DD4">
            <w:pPr>
              <w:spacing w:before="120" w:after="120"/>
              <w:jc w:val="center"/>
              <w:rPr>
                <w:highlight w:val="white"/>
              </w:rPr>
            </w:pPr>
            <w:r w:rsidRPr="00D34CC6">
              <w:t xml:space="preserve">   R$ 143.237.585,84 </w:t>
            </w:r>
          </w:p>
        </w:tc>
      </w:tr>
      <w:tr w:rsidR="00D56DD4" w14:paraId="4FB5F018" w14:textId="77777777" w:rsidTr="00364C52">
        <w:trPr>
          <w:jc w:val="center"/>
        </w:trPr>
        <w:tc>
          <w:tcPr>
            <w:tcW w:w="2115" w:type="dxa"/>
            <w:vAlign w:val="center"/>
          </w:tcPr>
          <w:p w14:paraId="4FB5F015" w14:textId="77777777" w:rsidR="00D56DD4" w:rsidRDefault="00D56DD4" w:rsidP="00D56DD4">
            <w:pPr>
              <w:spacing w:before="120" w:after="120"/>
              <w:jc w:val="center"/>
              <w:rPr>
                <w:sz w:val="20"/>
                <w:szCs w:val="20"/>
              </w:rPr>
            </w:pPr>
            <w:r>
              <w:rPr>
                <w:sz w:val="20"/>
                <w:szCs w:val="20"/>
              </w:rPr>
              <w:t>2027</w:t>
            </w:r>
          </w:p>
        </w:tc>
        <w:tc>
          <w:tcPr>
            <w:tcW w:w="2640" w:type="dxa"/>
          </w:tcPr>
          <w:p w14:paraId="4FB5F016" w14:textId="0ED4BC13" w:rsidR="00D56DD4" w:rsidRDefault="00D56DD4" w:rsidP="00D56DD4">
            <w:pPr>
              <w:spacing w:before="120" w:after="120"/>
              <w:jc w:val="center"/>
              <w:rPr>
                <w:highlight w:val="white"/>
              </w:rPr>
            </w:pPr>
            <w:r w:rsidRPr="00D34CC6">
              <w:t xml:space="preserve">R$ 88.287.738,44 </w:t>
            </w:r>
          </w:p>
        </w:tc>
      </w:tr>
      <w:tr w:rsidR="00D56DD4" w14:paraId="4FB5F01C" w14:textId="77777777" w:rsidTr="00364C52">
        <w:trPr>
          <w:jc w:val="center"/>
        </w:trPr>
        <w:tc>
          <w:tcPr>
            <w:tcW w:w="2115" w:type="dxa"/>
            <w:vAlign w:val="center"/>
          </w:tcPr>
          <w:p w14:paraId="4FB5F019" w14:textId="77777777" w:rsidR="00D56DD4" w:rsidRDefault="00D56DD4" w:rsidP="00D56DD4">
            <w:pPr>
              <w:spacing w:before="120" w:after="120"/>
              <w:jc w:val="center"/>
              <w:rPr>
                <w:sz w:val="20"/>
                <w:szCs w:val="20"/>
              </w:rPr>
            </w:pPr>
            <w:r>
              <w:rPr>
                <w:sz w:val="20"/>
                <w:szCs w:val="20"/>
              </w:rPr>
              <w:t>2028</w:t>
            </w:r>
          </w:p>
        </w:tc>
        <w:tc>
          <w:tcPr>
            <w:tcW w:w="2640" w:type="dxa"/>
          </w:tcPr>
          <w:p w14:paraId="4FB5F01A" w14:textId="2AA903B2" w:rsidR="00D56DD4" w:rsidRDefault="000F121D" w:rsidP="000F121D">
            <w:pPr>
              <w:spacing w:before="120" w:after="120"/>
              <w:rPr>
                <w:highlight w:val="white"/>
              </w:rPr>
            </w:pPr>
            <w:r>
              <w:t xml:space="preserve">         </w:t>
            </w:r>
            <w:r w:rsidR="00D56DD4" w:rsidRPr="00D34CC6">
              <w:t xml:space="preserve">R$ 43.742.198,99 </w:t>
            </w:r>
          </w:p>
        </w:tc>
      </w:tr>
      <w:tr w:rsidR="00D56DD4" w14:paraId="4FB5F020" w14:textId="77777777" w:rsidTr="00364C52">
        <w:trPr>
          <w:jc w:val="center"/>
        </w:trPr>
        <w:tc>
          <w:tcPr>
            <w:tcW w:w="2115" w:type="dxa"/>
            <w:vAlign w:val="center"/>
          </w:tcPr>
          <w:p w14:paraId="4FB5F01D" w14:textId="77777777" w:rsidR="00D56DD4" w:rsidRDefault="00D56DD4" w:rsidP="00D56DD4">
            <w:pPr>
              <w:spacing w:before="120" w:after="120"/>
              <w:jc w:val="center"/>
              <w:rPr>
                <w:b/>
              </w:rPr>
            </w:pPr>
            <w:r>
              <w:rPr>
                <w:b/>
              </w:rPr>
              <w:t>Total</w:t>
            </w:r>
          </w:p>
        </w:tc>
        <w:tc>
          <w:tcPr>
            <w:tcW w:w="2640" w:type="dxa"/>
          </w:tcPr>
          <w:p w14:paraId="4FB5F01E" w14:textId="5CAD478F" w:rsidR="00D56DD4" w:rsidRDefault="00D56DD4" w:rsidP="00D56DD4">
            <w:pPr>
              <w:spacing w:before="120" w:after="120"/>
              <w:jc w:val="center"/>
              <w:rPr>
                <w:b/>
                <w:highlight w:val="white"/>
              </w:rPr>
            </w:pPr>
            <w:r w:rsidRPr="00D34CC6">
              <w:t>R$ 663.204.619,91</w:t>
            </w:r>
          </w:p>
        </w:tc>
      </w:tr>
      <w:tr w:rsidR="00364C52" w14:paraId="4FB5F024" w14:textId="77777777" w:rsidTr="00364C52">
        <w:trPr>
          <w:trHeight w:val="300"/>
          <w:jc w:val="center"/>
        </w:trPr>
        <w:tc>
          <w:tcPr>
            <w:tcW w:w="2115" w:type="dxa"/>
            <w:vAlign w:val="center"/>
          </w:tcPr>
          <w:p w14:paraId="4FB5F021" w14:textId="77777777" w:rsidR="00364C52" w:rsidRDefault="00364C52">
            <w:pPr>
              <w:spacing w:before="120" w:after="120"/>
              <w:jc w:val="center"/>
              <w:rPr>
                <w:b/>
              </w:rPr>
            </w:pPr>
            <w:r>
              <w:rPr>
                <w:b/>
              </w:rPr>
              <w:t>Média</w:t>
            </w:r>
          </w:p>
        </w:tc>
        <w:tc>
          <w:tcPr>
            <w:tcW w:w="2640" w:type="dxa"/>
          </w:tcPr>
          <w:p w14:paraId="4FB5F022" w14:textId="4EC26C07" w:rsidR="00364C52" w:rsidRDefault="00364C52">
            <w:pPr>
              <w:spacing w:before="120" w:after="120"/>
              <w:jc w:val="center"/>
              <w:rPr>
                <w:b/>
                <w:highlight w:val="white"/>
              </w:rPr>
            </w:pPr>
            <w:r>
              <w:rPr>
                <w:highlight w:val="white"/>
              </w:rPr>
              <w:t xml:space="preserve">R$ </w:t>
            </w:r>
            <w:r>
              <w:rPr>
                <w:b/>
                <w:highlight w:val="white"/>
              </w:rPr>
              <w:t xml:space="preserve"> </w:t>
            </w:r>
            <w:r w:rsidR="000F121D" w:rsidRPr="000F121D">
              <w:rPr>
                <w:b/>
              </w:rPr>
              <w:t xml:space="preserve"> 132.640.923,98</w:t>
            </w:r>
          </w:p>
        </w:tc>
      </w:tr>
    </w:tbl>
    <w:p w14:paraId="4FB5F025" w14:textId="77777777" w:rsidR="008238E6" w:rsidRDefault="008238E6">
      <w:pPr>
        <w:rPr>
          <w:highlight w:val="yellow"/>
        </w:rPr>
      </w:pPr>
    </w:p>
    <w:tbl>
      <w:tblPr>
        <w:tblStyle w:val="affffffff5"/>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F027" w14:textId="77777777">
        <w:trPr>
          <w:trHeight w:val="416"/>
        </w:trPr>
        <w:tc>
          <w:tcPr>
            <w:tcW w:w="9072" w:type="dxa"/>
            <w:shd w:val="clear" w:color="auto" w:fill="D9E2F3"/>
            <w:vAlign w:val="center"/>
          </w:tcPr>
          <w:p w14:paraId="4FB5F026" w14:textId="77777777" w:rsidR="008238E6" w:rsidRDefault="00D61AB3">
            <w:pPr>
              <w:spacing w:before="120" w:after="120"/>
              <w:jc w:val="center"/>
              <w:rPr>
                <w:b/>
              </w:rPr>
            </w:pPr>
            <w:r>
              <w:rPr>
                <w:b/>
              </w:rPr>
              <w:t>Comentários sobre o impacto orçamentário incremental</w:t>
            </w:r>
          </w:p>
        </w:tc>
      </w:tr>
      <w:tr w:rsidR="008238E6" w14:paraId="4FB5F02C" w14:textId="77777777">
        <w:trPr>
          <w:trHeight w:val="750"/>
        </w:trPr>
        <w:tc>
          <w:tcPr>
            <w:tcW w:w="9072" w:type="dxa"/>
            <w:vAlign w:val="center"/>
          </w:tcPr>
          <w:p w14:paraId="4FB5F028" w14:textId="492BBF5E" w:rsidR="008238E6" w:rsidRDefault="00D61AB3">
            <w:pPr>
              <w:shd w:val="clear" w:color="auto" w:fill="FFFFFF"/>
              <w:spacing w:before="200" w:after="200"/>
            </w:pPr>
            <w:r>
              <w:t xml:space="preserve">O resultado da nova análise de impacto orçamentário realizado pelo PARECERISTA </w:t>
            </w:r>
            <w:r w:rsidR="000A0A6D">
              <w:t>diferiu</w:t>
            </w:r>
            <w:r w:rsidR="00581378">
              <w:t xml:space="preserve"> d</w:t>
            </w:r>
            <w:r w:rsidR="008F358A" w:rsidRPr="008F358A">
              <w:t xml:space="preserve">o apresentado pelo PROPONENTE, </w:t>
            </w:r>
            <w:r w:rsidR="00581378">
              <w:t xml:space="preserve">principalmente </w:t>
            </w:r>
            <w:r w:rsidR="002D65EB">
              <w:t xml:space="preserve">em razão das </w:t>
            </w:r>
            <w:r>
              <w:t xml:space="preserve">alterações realizadas </w:t>
            </w:r>
            <w:r w:rsidR="004C7993">
              <w:t>na população,</w:t>
            </w:r>
            <w:r>
              <w:t xml:space="preserve"> custos e market share.</w:t>
            </w:r>
          </w:p>
          <w:p w14:paraId="4FB5F02B" w14:textId="77777777" w:rsidR="008238E6" w:rsidRDefault="008238E6" w:rsidP="002D65EB">
            <w:pPr>
              <w:shd w:val="clear" w:color="auto" w:fill="FFFFFF"/>
              <w:spacing w:before="200" w:after="200"/>
            </w:pPr>
          </w:p>
        </w:tc>
      </w:tr>
    </w:tbl>
    <w:p w14:paraId="4FB5F02D" w14:textId="77777777" w:rsidR="008238E6" w:rsidRDefault="008238E6">
      <w:pPr>
        <w:rPr>
          <w:highlight w:val="yellow"/>
        </w:rPr>
      </w:pPr>
    </w:p>
    <w:p w14:paraId="4FB5F02E" w14:textId="77777777" w:rsidR="008238E6" w:rsidRDefault="00D61AB3">
      <w:pPr>
        <w:pStyle w:val="Heading2"/>
      </w:pPr>
      <w:bookmarkStart w:id="79" w:name="_heading=h.1egqt2p" w:colFirst="0" w:colLast="0"/>
      <w:bookmarkEnd w:id="79"/>
      <w:r>
        <w:t>7.3 Discussão e conclusões</w:t>
      </w:r>
    </w:p>
    <w:p w14:paraId="4FB5F02F" w14:textId="77777777" w:rsidR="008238E6" w:rsidRDefault="008238E6">
      <w:pPr>
        <w:pStyle w:val="Heading2"/>
      </w:pPr>
      <w:bookmarkStart w:id="80" w:name="_heading=h.3ygebqi" w:colFirst="0" w:colLast="0"/>
      <w:bookmarkEnd w:id="80"/>
    </w:p>
    <w:p w14:paraId="6D99B237" w14:textId="636DC93B" w:rsidR="00366418" w:rsidRDefault="00D61AB3" w:rsidP="00366418">
      <w:pPr>
        <w:shd w:val="clear" w:color="auto" w:fill="FFFFFF"/>
        <w:spacing w:before="200" w:after="200"/>
      </w:pPr>
      <w:r>
        <w:t xml:space="preserve">Foram identificadas imprecisões e incertezas nos parâmetros de prevalência utilizados pelo proponente para o cálculo da população-alvo. Além disso, existem incertezas na estimativa do número de pacientes necessário para que os casos de MODY sejam identificados. A análise de impacto orçamentário recalculada pelo parecerista resultou em população-alvo </w:t>
      </w:r>
      <w:r w:rsidR="00A80151">
        <w:t>ligeiramente menor</w:t>
      </w:r>
      <w:r>
        <w:t xml:space="preserve"> do que a estimativa do proponente, porém o impacto orçamentário global em 5 anos recalculado pelo parecerista </w:t>
      </w:r>
      <w:r w:rsidR="00695FAE">
        <w:t>foi cerca de</w:t>
      </w:r>
      <w:r w:rsidR="00A80151">
        <w:t xml:space="preserve"> 4</w:t>
      </w:r>
      <w:r w:rsidR="00695FAE">
        <w:t xml:space="preserve"> vezes maior do que o </w:t>
      </w:r>
      <w:r w:rsidR="002367AB">
        <w:t>do proponente.</w:t>
      </w:r>
      <w:r>
        <w:t xml:space="preserve"> Isso pode ser explicado </w:t>
      </w:r>
      <w:r w:rsidR="002367AB">
        <w:t xml:space="preserve">em parte </w:t>
      </w:r>
      <w:r>
        <w:t>pela não adoção pelo parecerista de pressupostos sobre o impacto clínico na economia de recursos com manejo de complicações do diabetes, pressuposto esse que foi adotado pelo proponente</w:t>
      </w:r>
      <w:r w:rsidR="002367AB">
        <w:t xml:space="preserve">, além </w:t>
      </w:r>
      <w:r w:rsidR="00366418">
        <w:t>das alterações realizadas pelo pareceristas nos parâmetros de custo e market share.</w:t>
      </w:r>
    </w:p>
    <w:p w14:paraId="4FB5F030" w14:textId="3C56D6F3" w:rsidR="008238E6" w:rsidRDefault="008238E6">
      <w:pPr>
        <w:ind w:firstLine="720"/>
      </w:pPr>
    </w:p>
    <w:p w14:paraId="4FB5F031" w14:textId="77777777" w:rsidR="008238E6" w:rsidRDefault="00D61AB3">
      <w:pPr>
        <w:pStyle w:val="Heading2"/>
        <w:ind w:firstLine="720"/>
      </w:pPr>
      <w:bookmarkStart w:id="81" w:name="_heading=h.sqyw64" w:colFirst="0" w:colLast="0"/>
      <w:bookmarkEnd w:id="81"/>
      <w:r>
        <w:br w:type="page"/>
      </w:r>
    </w:p>
    <w:p w14:paraId="4FB5F032" w14:textId="77777777" w:rsidR="008238E6" w:rsidRDefault="00D61AB3">
      <w:pPr>
        <w:pStyle w:val="Heading4"/>
      </w:pPr>
      <w:bookmarkStart w:id="82" w:name="_heading=h.smiiy7fmud37" w:colFirst="0" w:colLast="0"/>
      <w:bookmarkEnd w:id="82"/>
      <w:r>
        <w:rPr>
          <w:b/>
        </w:rPr>
        <w:t xml:space="preserve">Quadro 35. </w:t>
      </w:r>
      <w:r>
        <w:t>Componentes da discussão e das conclusões.</w:t>
      </w:r>
    </w:p>
    <w:tbl>
      <w:tblPr>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70" w:type="dxa"/>
          <w:right w:w="70" w:type="dxa"/>
        </w:tblCellMar>
        <w:tblLook w:val="0400" w:firstRow="0" w:lastRow="0" w:firstColumn="0" w:lastColumn="0" w:noHBand="0" w:noVBand="1"/>
      </w:tblPr>
      <w:tblGrid>
        <w:gridCol w:w="1526"/>
        <w:gridCol w:w="3260"/>
        <w:gridCol w:w="4500"/>
      </w:tblGrid>
      <w:tr w:rsidR="008238E6" w14:paraId="4FB5F036" w14:textId="77777777" w:rsidTr="3EF7B8AA">
        <w:tc>
          <w:tcPr>
            <w:tcW w:w="1526" w:type="dxa"/>
            <w:shd w:val="clear" w:color="auto" w:fill="D9E2F3"/>
          </w:tcPr>
          <w:p w14:paraId="4FB5F033" w14:textId="77777777" w:rsidR="008238E6" w:rsidRDefault="00D61AB3">
            <w:pPr>
              <w:spacing w:before="120" w:after="120"/>
              <w:jc w:val="center"/>
            </w:pPr>
            <w:r>
              <w:rPr>
                <w:b/>
              </w:rPr>
              <w:t>Componente</w:t>
            </w:r>
          </w:p>
        </w:tc>
        <w:tc>
          <w:tcPr>
            <w:tcW w:w="3260" w:type="dxa"/>
            <w:shd w:val="clear" w:color="auto" w:fill="D9E2F3"/>
          </w:tcPr>
          <w:p w14:paraId="4FB5F034" w14:textId="77777777" w:rsidR="008238E6" w:rsidRDefault="00D61AB3">
            <w:pPr>
              <w:spacing w:before="120" w:after="120"/>
              <w:jc w:val="center"/>
            </w:pPr>
            <w:r>
              <w:rPr>
                <w:b/>
              </w:rPr>
              <w:t>Proponente</w:t>
            </w:r>
          </w:p>
        </w:tc>
        <w:tc>
          <w:tcPr>
            <w:tcW w:w="4500" w:type="dxa"/>
            <w:shd w:val="clear" w:color="auto" w:fill="D9E2F3"/>
          </w:tcPr>
          <w:p w14:paraId="4FB5F035" w14:textId="77777777" w:rsidR="008238E6" w:rsidRDefault="00D61AB3">
            <w:pPr>
              <w:spacing w:before="120" w:after="120"/>
              <w:jc w:val="center"/>
            </w:pPr>
            <w:r>
              <w:rPr>
                <w:b/>
              </w:rPr>
              <w:t>Análise da proposta</w:t>
            </w:r>
          </w:p>
        </w:tc>
      </w:tr>
      <w:tr w:rsidR="008238E6" w14:paraId="4FB5F03C" w14:textId="77777777" w:rsidTr="3EF7B8AA">
        <w:tc>
          <w:tcPr>
            <w:tcW w:w="1526" w:type="dxa"/>
          </w:tcPr>
          <w:p w14:paraId="4FB5F037" w14:textId="77777777" w:rsidR="008238E6" w:rsidRDefault="00D61AB3">
            <w:pPr>
              <w:spacing w:before="120" w:after="120"/>
              <w:jc w:val="center"/>
              <w:rPr>
                <w:b/>
              </w:rPr>
            </w:pPr>
            <w:r>
              <w:rPr>
                <w:b/>
              </w:rPr>
              <w:t>Principais achados</w:t>
            </w:r>
          </w:p>
        </w:tc>
        <w:tc>
          <w:tcPr>
            <w:tcW w:w="3260" w:type="dxa"/>
          </w:tcPr>
          <w:p w14:paraId="4FB5F038" w14:textId="34A80000" w:rsidR="008238E6" w:rsidRDefault="00D61AB3">
            <w:pPr>
              <w:spacing w:before="120" w:after="120"/>
            </w:pPr>
            <w:r>
              <w:t xml:space="preserve">O impacto orçamentário no primeiro ano foi de </w:t>
            </w:r>
            <w:r w:rsidR="00656E43">
              <w:t xml:space="preserve">R$ </w:t>
            </w:r>
            <w:r>
              <w:t xml:space="preserve">51 milhões, com um total acumulado de </w:t>
            </w:r>
            <w:r w:rsidR="00656E43">
              <w:t xml:space="preserve">R$ </w:t>
            </w:r>
            <w:r>
              <w:t>150 milhões em 5 anos.</w:t>
            </w:r>
          </w:p>
        </w:tc>
        <w:tc>
          <w:tcPr>
            <w:tcW w:w="4500" w:type="dxa"/>
          </w:tcPr>
          <w:p w14:paraId="4FB5F03B" w14:textId="44EDCE2E" w:rsidR="008238E6" w:rsidRDefault="00497C62" w:rsidP="00A03E73">
            <w:pPr>
              <w:spacing w:before="120" w:after="120"/>
              <w:ind w:left="132" w:right="45" w:firstLine="5"/>
            </w:pPr>
            <w:r>
              <w:t>T</w:t>
            </w:r>
            <w:r w:rsidR="00D61AB3">
              <w:t>rata-se de uma tecnologia que sua incorporação no Rol da ANS apresentaria um custo incremental positivo no horizonte temporal avaliado, de</w:t>
            </w:r>
            <w:r w:rsidR="00257224">
              <w:t xml:space="preserve"> R$ 663 milhões</w:t>
            </w:r>
            <w:r w:rsidR="00D61AB3">
              <w:rPr>
                <w:b/>
                <w:highlight w:val="white"/>
              </w:rPr>
              <w:t>, calculado pelo parecerista</w:t>
            </w:r>
            <w:r w:rsidR="00D61AB3">
              <w:t>.</w:t>
            </w:r>
          </w:p>
        </w:tc>
      </w:tr>
      <w:tr w:rsidR="008238E6" w14:paraId="4FB5F040" w14:textId="77777777" w:rsidTr="3EF7B8AA">
        <w:tc>
          <w:tcPr>
            <w:tcW w:w="1526" w:type="dxa"/>
          </w:tcPr>
          <w:p w14:paraId="4FB5F03D" w14:textId="77777777" w:rsidR="008238E6" w:rsidRDefault="00D61AB3">
            <w:pPr>
              <w:spacing w:before="120" w:after="120"/>
              <w:jc w:val="center"/>
              <w:rPr>
                <w:b/>
              </w:rPr>
            </w:pPr>
            <w:r>
              <w:rPr>
                <w:b/>
              </w:rPr>
              <w:t>Limitações</w:t>
            </w:r>
          </w:p>
        </w:tc>
        <w:tc>
          <w:tcPr>
            <w:tcW w:w="3260" w:type="dxa"/>
          </w:tcPr>
          <w:p w14:paraId="4FB5F03E" w14:textId="77777777" w:rsidR="008238E6" w:rsidRDefault="00D61AB3">
            <w:pPr>
              <w:spacing w:before="120" w:after="120"/>
              <w:jc w:val="center"/>
            </w:pPr>
            <w:r>
              <w:t>Não descrito</w:t>
            </w:r>
          </w:p>
        </w:tc>
        <w:tc>
          <w:tcPr>
            <w:tcW w:w="4500" w:type="dxa"/>
          </w:tcPr>
          <w:p w14:paraId="4FB5F03F" w14:textId="396995F9" w:rsidR="008238E6" w:rsidRDefault="00D61AB3">
            <w:pPr>
              <w:spacing w:before="120" w:after="120"/>
            </w:pPr>
            <w:r>
              <w:t xml:space="preserve"> </w:t>
            </w:r>
            <w:r w:rsidR="009A07C0">
              <w:t>Não foram discutidas as limitações da metodologia utilizada.</w:t>
            </w:r>
          </w:p>
        </w:tc>
      </w:tr>
      <w:tr w:rsidR="008238E6" w14:paraId="4FB5F04F" w14:textId="77777777" w:rsidTr="3EF7B8AA">
        <w:tc>
          <w:tcPr>
            <w:tcW w:w="1526" w:type="dxa"/>
          </w:tcPr>
          <w:p w14:paraId="4FB5F041" w14:textId="77777777" w:rsidR="008238E6" w:rsidRDefault="00D61AB3">
            <w:pPr>
              <w:spacing w:before="120" w:after="120"/>
              <w:jc w:val="center"/>
              <w:rPr>
                <w:b/>
              </w:rPr>
            </w:pPr>
            <w:r>
              <w:rPr>
                <w:b/>
              </w:rPr>
              <w:t>Generalização dos achados</w:t>
            </w:r>
          </w:p>
          <w:p w14:paraId="4FB5F042" w14:textId="77777777" w:rsidR="008238E6" w:rsidRDefault="00D61AB3">
            <w:pPr>
              <w:spacing w:before="120" w:after="120"/>
              <w:jc w:val="center"/>
              <w:rPr>
                <w:b/>
              </w:rPr>
            </w:pPr>
            <w:r>
              <w:rPr>
                <w:b/>
              </w:rPr>
              <w:t>Implicações para a prática</w:t>
            </w:r>
          </w:p>
        </w:tc>
        <w:tc>
          <w:tcPr>
            <w:tcW w:w="3260" w:type="dxa"/>
          </w:tcPr>
          <w:p w14:paraId="4FB5F043" w14:textId="3E8DB38D" w:rsidR="008238E6" w:rsidRDefault="00D61AB3">
            <w:pPr>
              <w:spacing w:before="120" w:after="120"/>
            </w:pPr>
            <w:r>
              <w:t>Como os pacientes são erroneamente diagnosticados como diabetes tipo 1 ou 2, podem ser submetidos a tratamentos de primeira linha a esses dois tipos desnecessariamente. O uso de injeções de insulina para tipo 1 e metformina para o tipo 2 são tratamentos mais onerosos e menos efetivos do que o uso de sulfonilureia de baixa dosagem e tratamento não medicamentoso.</w:t>
            </w:r>
          </w:p>
          <w:p w14:paraId="4FB5F044" w14:textId="77777777" w:rsidR="008238E6" w:rsidRDefault="00D61AB3">
            <w:pPr>
              <w:spacing w:before="120" w:after="120"/>
            </w:pPr>
            <w:r>
              <w:t>Uma vez feito o diagnóstico de MODY, outros membros da família, podem ser rastreados para a mutação específica da família e possíveis anormalidades do metabolismo de carboidratos, possibilitando um diagnóstico precoce e expandindo o benefício do diagnóstico específico.</w:t>
            </w:r>
          </w:p>
          <w:p w14:paraId="4FB5F045" w14:textId="77777777" w:rsidR="008238E6" w:rsidRDefault="00D61AB3">
            <w:pPr>
              <w:spacing w:before="120" w:after="120"/>
            </w:pPr>
            <w:r>
              <w:t>A incorporação do teste genético para diagnóstico de diabetes tipo MODY possibilita uma gestão terapêutica mais eficaz e melhora a qualidade de vida dos pacientes bem como sua progressão e prevenção de comorbidades.</w:t>
            </w:r>
          </w:p>
        </w:tc>
        <w:tc>
          <w:tcPr>
            <w:tcW w:w="4500" w:type="dxa"/>
          </w:tcPr>
          <w:p w14:paraId="4FB5F046" w14:textId="77777777" w:rsidR="008238E6" w:rsidRDefault="00D61AB3">
            <w:pPr>
              <w:pBdr>
                <w:top w:val="nil"/>
                <w:left w:val="nil"/>
                <w:bottom w:val="nil"/>
                <w:right w:val="nil"/>
                <w:between w:val="nil"/>
              </w:pBdr>
              <w:spacing w:before="120" w:after="120"/>
              <w:ind w:left="132" w:right="45" w:firstLine="5"/>
            </w:pPr>
            <w:r>
              <w:t>Atualmente a identificação de pacientes tipo MODY se dá através de suspeição clínica associada a estimativa de probabilidade, conforme ponto de corte (cut-off) na calculadora de MODY, somadas à combinação de dados clínico-laboratoriais.</w:t>
            </w:r>
          </w:p>
          <w:p w14:paraId="4FB5F047" w14:textId="77777777" w:rsidR="008238E6" w:rsidRDefault="00D61AB3">
            <w:pPr>
              <w:pBdr>
                <w:top w:val="nil"/>
                <w:left w:val="nil"/>
                <w:bottom w:val="nil"/>
                <w:right w:val="nil"/>
                <w:between w:val="nil"/>
              </w:pBdr>
              <w:spacing w:before="120" w:after="120"/>
              <w:ind w:left="132" w:right="45" w:firstLine="5"/>
            </w:pPr>
            <w:r>
              <w:t>Conforme a Diretriz da Sociedade Brasileira de Diabetes</w:t>
            </w:r>
            <w:r>
              <w:rPr>
                <w:vertAlign w:val="superscript"/>
              </w:rPr>
              <w:t>6</w:t>
            </w:r>
            <w:r>
              <w:t xml:space="preserve">, testes genéticos são úteis para classificação adequada de DM, já que a identificação de diabetes monogênico pode resultar em mudanças no tratamento proposto. </w:t>
            </w:r>
          </w:p>
          <w:p w14:paraId="4FB5F048" w14:textId="33E7CF15" w:rsidR="008238E6" w:rsidRDefault="00D61AB3">
            <w:pPr>
              <w:spacing w:before="120" w:after="120"/>
              <w:ind w:left="132" w:right="45" w:firstLine="5"/>
            </w:pPr>
            <w:r w:rsidRPr="3EF7B8AA">
              <w:rPr>
                <w:color w:val="1E1E1E"/>
              </w:rPr>
              <w:t>Assim, de acordo com essa diretriz, é recomendado suspeitar de diabetes monogênico em pacientes com hiperglicemia de início antes dos 25 anos de idade, com diabetes surgindo na família antes dos 25 anos em duas ou três gerações. Os autoanticorpos devem ser negativos e o peptídeo C &gt; 0,6 ng/mL, após 5 anos do diagnóstico de DM.</w:t>
            </w:r>
            <w:r>
              <w:t xml:space="preserve"> </w:t>
            </w:r>
          </w:p>
          <w:p w14:paraId="4FB5F049" w14:textId="77777777" w:rsidR="008238E6" w:rsidRDefault="00D61AB3">
            <w:pPr>
              <w:spacing w:before="120" w:after="120"/>
              <w:ind w:left="132" w:right="45" w:firstLine="5"/>
            </w:pPr>
            <w:r>
              <w:rPr>
                <w:color w:val="1E1E1E"/>
              </w:rPr>
              <w:t xml:space="preserve">A calculadora para risco de probabilidade de MODY pode ser usada para avaliação de risco. </w:t>
            </w:r>
            <w:r>
              <w:t xml:space="preserve">A diretriz recomenda que pacientes </w:t>
            </w:r>
            <w:r>
              <w:rPr>
                <w:color w:val="1E1E1E"/>
              </w:rPr>
              <w:t>com valor preditivo positivo &gt; 60% sejam submetidos a testes genéticos, sendo recomendado na diretriz o uso de painel genético.</w:t>
            </w:r>
            <w:r>
              <w:t xml:space="preserve">  </w:t>
            </w:r>
            <w:r>
              <w:rPr>
                <w:color w:val="1E1E1E"/>
              </w:rPr>
              <w:t xml:space="preserve">A calculadora está disponível no site abaixo e em plataformas mobile iOS e Android como o aplicativo Diabetes Diagnostics. </w:t>
            </w:r>
            <w:hyperlink r:id="rId33">
              <w:r w:rsidR="008238E6">
                <w:rPr>
                  <w:color w:val="5986A4"/>
                  <w:u w:val="single"/>
                </w:rPr>
                <w:t>https://www.diabetesgenes.org/exeter-diabetes-app/ModyCalculator</w:t>
              </w:r>
            </w:hyperlink>
            <w:r>
              <w:t>.</w:t>
            </w:r>
          </w:p>
          <w:p w14:paraId="4FB5F04A" w14:textId="77777777" w:rsidR="008238E6" w:rsidRDefault="00D61AB3">
            <w:pPr>
              <w:spacing w:before="120" w:after="120"/>
              <w:ind w:left="132" w:right="45" w:firstLine="5"/>
            </w:pPr>
            <w:r>
              <w:t>A calculadora MODY possui uma acurácia de 95% no ponto de corte 60% para a população brasileira.</w:t>
            </w:r>
          </w:p>
          <w:p w14:paraId="4FB5F04E" w14:textId="323D40FD" w:rsidR="008238E6" w:rsidRPr="003D3170" w:rsidRDefault="00D61AB3" w:rsidP="003D3170">
            <w:pPr>
              <w:spacing w:before="120" w:after="120"/>
              <w:ind w:left="132" w:right="45" w:firstLine="5"/>
              <w:rPr>
                <w:color w:val="1E1E1E"/>
              </w:rPr>
            </w:pPr>
            <w:r>
              <w:t>Caso o paciente venha se tratando com insulina, ele deve realizar o teste do peptídeo C (utilizado para avaliar a capacidade secretória do pâncreas) e de anticorpos anti-ilhotas (para detectar anticorpos que atuam contra as células beta das ilhotas de Langerhans), ambos disponíveis no rol da ANS. Dependendo do resultado desses exames, pode ser excluída a necessidade do</w:t>
            </w:r>
            <w:r w:rsidR="45329460">
              <w:t xml:space="preserve"> </w:t>
            </w:r>
            <w:r>
              <w:t xml:space="preserve">paciente testar geneticamente para MODY. Pacientes com </w:t>
            </w:r>
            <w:r w:rsidRPr="3EF7B8AA">
              <w:rPr>
                <w:color w:val="1E1E1E"/>
              </w:rPr>
              <w:t>DM1 apresentam perda da capacidade de secreção de insulina, e pacientes com DM2 e diabetes tipo MODY apresentam maior capacidade secretória. Um exame positivo para autoanticorpos praticamente exclui o diagnóstico de MODy em pacientes com menos de 30 anos.</w:t>
            </w:r>
          </w:p>
        </w:tc>
      </w:tr>
    </w:tbl>
    <w:p w14:paraId="4FB5F050" w14:textId="77777777" w:rsidR="008238E6" w:rsidRDefault="008238E6">
      <w:pPr>
        <w:rPr>
          <w:highlight w:val="yellow"/>
        </w:rPr>
      </w:pPr>
    </w:p>
    <w:tbl>
      <w:tblPr>
        <w:tblStyle w:val="affffffff7"/>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238E6" w14:paraId="4FB5F052" w14:textId="77777777">
        <w:trPr>
          <w:trHeight w:val="416"/>
        </w:trPr>
        <w:tc>
          <w:tcPr>
            <w:tcW w:w="9072" w:type="dxa"/>
            <w:shd w:val="clear" w:color="auto" w:fill="D9E2F3"/>
            <w:vAlign w:val="center"/>
          </w:tcPr>
          <w:p w14:paraId="4FB5F051" w14:textId="77777777" w:rsidR="008238E6" w:rsidRDefault="00D61AB3">
            <w:pPr>
              <w:spacing w:before="120" w:after="120"/>
              <w:jc w:val="center"/>
              <w:rPr>
                <w:b/>
              </w:rPr>
            </w:pPr>
            <w:r>
              <w:rPr>
                <w:b/>
              </w:rPr>
              <w:t>Comentários adicionais sobre a discussão e as conclusões apresentadas pelo PROPONENTE</w:t>
            </w:r>
          </w:p>
        </w:tc>
      </w:tr>
      <w:tr w:rsidR="008238E6" w14:paraId="4FB5F056" w14:textId="77777777">
        <w:trPr>
          <w:trHeight w:val="750"/>
        </w:trPr>
        <w:tc>
          <w:tcPr>
            <w:tcW w:w="9072" w:type="dxa"/>
            <w:vAlign w:val="center"/>
          </w:tcPr>
          <w:p w14:paraId="4FB5F053" w14:textId="14F8B967" w:rsidR="008238E6" w:rsidRDefault="00D61AB3">
            <w:pPr>
              <w:spacing w:before="120" w:after="120"/>
            </w:pPr>
            <w:r>
              <w:t xml:space="preserve">O texto com a discussão e conclusões é extremamente resumido e com informações </w:t>
            </w:r>
            <w:r w:rsidR="004162A8">
              <w:t>imprecisas</w:t>
            </w:r>
            <w:r>
              <w:t>. A qualidade do material apresentado compromete a confiabilidade e a utilidade da AIO para a tomada de decisões informadas sobre a inclusão do teste genético para MODY no rol de procedimentos reembolsáveis.</w:t>
            </w:r>
          </w:p>
          <w:p w14:paraId="4FB5F055" w14:textId="2317E9BE" w:rsidR="008238E6" w:rsidRDefault="00D61AB3">
            <w:pPr>
              <w:spacing w:before="120" w:after="120"/>
            </w:pPr>
            <w:r>
              <w:t>Após refazer a AIO, os PARECERISTAS encontraram resultado superior ao apresentado pelo PROPONENTE, por conta da metodologia diversa em relação ao cálculo da população elegível, custos e market share. Trata-se de uma tecnologia que sua incorporação no Rol da ANS apresentaria um custo incremental positivo no horizonte temporal avaliado.</w:t>
            </w:r>
          </w:p>
        </w:tc>
      </w:tr>
    </w:tbl>
    <w:p w14:paraId="4FB5F057" w14:textId="77777777" w:rsidR="008238E6" w:rsidRDefault="008238E6"/>
    <w:p w14:paraId="4FB5F058" w14:textId="77777777" w:rsidR="008238E6" w:rsidRDefault="008238E6">
      <w:pPr>
        <w:rPr>
          <w:highlight w:val="yellow"/>
        </w:rPr>
      </w:pPr>
    </w:p>
    <w:p w14:paraId="4FB5F059" w14:textId="77777777" w:rsidR="008238E6" w:rsidRDefault="00D61AB3">
      <w:pPr>
        <w:pStyle w:val="Heading2"/>
      </w:pPr>
      <w:bookmarkStart w:id="83" w:name="_heading=h.3cqmetx" w:colFirst="0" w:colLast="0"/>
      <w:bookmarkEnd w:id="83"/>
      <w:r>
        <w:t>7.4 Elementos pós-texto</w:t>
      </w:r>
    </w:p>
    <w:p w14:paraId="4FB5F05A" w14:textId="77777777" w:rsidR="008238E6" w:rsidRDefault="00D61AB3">
      <w:pPr>
        <w:pStyle w:val="Heading4"/>
      </w:pPr>
      <w:bookmarkStart w:id="84" w:name="_heading=h.7fbkr0b6pkzd" w:colFirst="0" w:colLast="0"/>
      <w:bookmarkEnd w:id="84"/>
      <w:r>
        <w:rPr>
          <w:b/>
        </w:rPr>
        <w:t xml:space="preserve">Quadro 36. </w:t>
      </w:r>
      <w:r>
        <w:t>Elementos pós-texto.</w:t>
      </w:r>
    </w:p>
    <w:tbl>
      <w:tblPr>
        <w:tblStyle w:val="affffffff8"/>
        <w:tblW w:w="8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238E6" w14:paraId="4FB5F05E" w14:textId="77777777">
        <w:trPr>
          <w:trHeight w:val="454"/>
          <w:jc w:val="center"/>
        </w:trPr>
        <w:tc>
          <w:tcPr>
            <w:tcW w:w="2046" w:type="dxa"/>
            <w:shd w:val="clear" w:color="auto" w:fill="D9E2F3"/>
          </w:tcPr>
          <w:p w14:paraId="4FB5F05B" w14:textId="77777777" w:rsidR="008238E6" w:rsidRDefault="00D61AB3">
            <w:pPr>
              <w:spacing w:before="120" w:after="120"/>
              <w:jc w:val="center"/>
              <w:rPr>
                <w:b/>
              </w:rPr>
            </w:pPr>
            <w:r>
              <w:rPr>
                <w:b/>
              </w:rPr>
              <w:t>Critério</w:t>
            </w:r>
          </w:p>
        </w:tc>
        <w:tc>
          <w:tcPr>
            <w:tcW w:w="2976" w:type="dxa"/>
            <w:shd w:val="clear" w:color="auto" w:fill="D9E2F3"/>
          </w:tcPr>
          <w:p w14:paraId="4FB5F05C" w14:textId="77777777" w:rsidR="008238E6" w:rsidRDefault="00D61AB3">
            <w:pPr>
              <w:spacing w:before="120" w:after="120"/>
              <w:jc w:val="center"/>
              <w:rPr>
                <w:b/>
              </w:rPr>
            </w:pPr>
            <w:r>
              <w:rPr>
                <w:b/>
              </w:rPr>
              <w:t>Proponente</w:t>
            </w:r>
          </w:p>
        </w:tc>
        <w:tc>
          <w:tcPr>
            <w:tcW w:w="3885" w:type="dxa"/>
            <w:shd w:val="clear" w:color="auto" w:fill="D9E2F3"/>
          </w:tcPr>
          <w:p w14:paraId="4FB5F05D" w14:textId="77777777" w:rsidR="008238E6" w:rsidRDefault="00D61AB3">
            <w:pPr>
              <w:spacing w:before="120" w:after="120"/>
              <w:jc w:val="center"/>
              <w:rPr>
                <w:b/>
              </w:rPr>
            </w:pPr>
            <w:r>
              <w:rPr>
                <w:b/>
              </w:rPr>
              <w:t>Análise da proposta</w:t>
            </w:r>
          </w:p>
        </w:tc>
      </w:tr>
      <w:tr w:rsidR="008238E6" w14:paraId="4FB5F062" w14:textId="77777777">
        <w:trPr>
          <w:trHeight w:val="454"/>
          <w:jc w:val="center"/>
        </w:trPr>
        <w:tc>
          <w:tcPr>
            <w:tcW w:w="2046" w:type="dxa"/>
            <w:shd w:val="clear" w:color="auto" w:fill="auto"/>
          </w:tcPr>
          <w:p w14:paraId="4FB5F05F" w14:textId="77777777" w:rsidR="008238E6" w:rsidRDefault="00D61AB3">
            <w:pPr>
              <w:spacing w:before="120" w:after="120"/>
              <w:jc w:val="center"/>
              <w:rPr>
                <w:b/>
              </w:rPr>
            </w:pPr>
            <w:r>
              <w:rPr>
                <w:b/>
                <w:color w:val="000000"/>
              </w:rPr>
              <w:t>Declaração de conflito de interesse</w:t>
            </w:r>
          </w:p>
        </w:tc>
        <w:tc>
          <w:tcPr>
            <w:tcW w:w="2976" w:type="dxa"/>
            <w:shd w:val="clear" w:color="auto" w:fill="auto"/>
          </w:tcPr>
          <w:p w14:paraId="4FB5F060" w14:textId="77777777" w:rsidR="008238E6" w:rsidRDefault="00D61AB3">
            <w:pPr>
              <w:spacing w:before="120" w:after="120"/>
              <w:jc w:val="center"/>
            </w:pPr>
            <w:r>
              <w:t>Não se aplica</w:t>
            </w:r>
          </w:p>
        </w:tc>
        <w:tc>
          <w:tcPr>
            <w:tcW w:w="3885" w:type="dxa"/>
          </w:tcPr>
          <w:p w14:paraId="4FB5F061" w14:textId="77777777" w:rsidR="008238E6" w:rsidRDefault="00D61AB3">
            <w:pPr>
              <w:spacing w:before="120" w:after="120"/>
              <w:rPr>
                <w:i/>
              </w:rPr>
            </w:pPr>
            <w:r>
              <w:t>A declaração de conflitos de interesse é objeto de análise pela ANS devido à proteção de dados confidenciais. O PARECERISTA não teve acesso ao documento.</w:t>
            </w:r>
          </w:p>
        </w:tc>
      </w:tr>
      <w:tr w:rsidR="008238E6" w14:paraId="4FB5F066" w14:textId="77777777">
        <w:trPr>
          <w:trHeight w:val="454"/>
          <w:jc w:val="center"/>
        </w:trPr>
        <w:tc>
          <w:tcPr>
            <w:tcW w:w="2046" w:type="dxa"/>
            <w:shd w:val="clear" w:color="auto" w:fill="auto"/>
          </w:tcPr>
          <w:p w14:paraId="4FB5F063" w14:textId="77777777" w:rsidR="008238E6" w:rsidRDefault="00D61AB3">
            <w:pPr>
              <w:spacing w:before="120" w:after="120"/>
              <w:jc w:val="center"/>
              <w:rPr>
                <w:b/>
              </w:rPr>
            </w:pPr>
            <w:r>
              <w:rPr>
                <w:b/>
                <w:color w:val="000000"/>
              </w:rPr>
              <w:t>Referências</w:t>
            </w:r>
          </w:p>
        </w:tc>
        <w:tc>
          <w:tcPr>
            <w:tcW w:w="2976" w:type="dxa"/>
            <w:shd w:val="clear" w:color="auto" w:fill="auto"/>
          </w:tcPr>
          <w:p w14:paraId="4FB5F064" w14:textId="77777777" w:rsidR="008238E6" w:rsidRDefault="00D61AB3">
            <w:pPr>
              <w:spacing w:before="120" w:after="120"/>
              <w:jc w:val="center"/>
            </w:pPr>
            <w:r>
              <w:t>Inadequadas</w:t>
            </w:r>
          </w:p>
        </w:tc>
        <w:tc>
          <w:tcPr>
            <w:tcW w:w="3885" w:type="dxa"/>
          </w:tcPr>
          <w:p w14:paraId="4FB5F065" w14:textId="77777777" w:rsidR="008238E6" w:rsidRDefault="00D61AB3">
            <w:pPr>
              <w:spacing w:before="200" w:after="200"/>
              <w:rPr>
                <w:i/>
                <w:color w:val="FF0000"/>
              </w:rPr>
            </w:pPr>
            <w:r>
              <w:t>Referências desatualizadas e inacessíveis</w:t>
            </w:r>
          </w:p>
        </w:tc>
      </w:tr>
    </w:tbl>
    <w:p w14:paraId="4FB5F067" w14:textId="77777777" w:rsidR="008238E6" w:rsidRDefault="008238E6"/>
    <w:p w14:paraId="4FB5F068" w14:textId="77777777" w:rsidR="008238E6" w:rsidRDefault="00D61AB3">
      <w:r>
        <w:t xml:space="preserve">O </w:t>
      </w:r>
      <w:r>
        <w:rPr>
          <w:i/>
        </w:rPr>
        <w:t xml:space="preserve">checklist </w:t>
      </w:r>
      <w:r>
        <w:t xml:space="preserve">de análise crítica da AIO da tecnologia em saúde correspondente e utilizado no processo de atualização do Rol está apresentado no </w:t>
      </w:r>
      <w:r>
        <w:rPr>
          <w:b/>
        </w:rPr>
        <w:t>Anexo 2</w:t>
      </w:r>
      <w:r>
        <w:t xml:space="preserve">. A planilha de impacto orçamentário elaborada pelo PARECERISTA está disponível no </w:t>
      </w:r>
      <w:r>
        <w:rPr>
          <w:b/>
        </w:rPr>
        <w:t>Anexo 3</w:t>
      </w:r>
      <w:r>
        <w:t>.</w:t>
      </w:r>
    </w:p>
    <w:p w14:paraId="4FB5F069" w14:textId="77777777" w:rsidR="008238E6" w:rsidRDefault="00D61AB3">
      <w:pPr>
        <w:pStyle w:val="Heading1"/>
      </w:pPr>
      <w:bookmarkStart w:id="85" w:name="_heading=h.1rvwp1q" w:colFirst="0" w:colLast="0"/>
      <w:bookmarkEnd w:id="85"/>
      <w:r>
        <w:t>8. CONSIDERAÇÕES FINAIS</w:t>
      </w:r>
    </w:p>
    <w:p w14:paraId="4FB5F06A" w14:textId="77777777" w:rsidR="008238E6" w:rsidRDefault="00D61AB3">
      <w:pPr>
        <w:pStyle w:val="Heading2"/>
      </w:pPr>
      <w:bookmarkStart w:id="86" w:name="_heading=h.4bvk7pj" w:colFirst="0" w:colLast="0"/>
      <w:bookmarkEnd w:id="86"/>
      <w:r>
        <w:t>8.1 Avaliação por outras agências de ATS</w:t>
      </w:r>
    </w:p>
    <w:p w14:paraId="4FB5F06B" w14:textId="77777777" w:rsidR="008238E6" w:rsidRDefault="00D61AB3">
      <w:pPr>
        <w:pStyle w:val="Heading4"/>
      </w:pPr>
      <w:bookmarkStart w:id="87" w:name="_heading=h.z3sn893q3v09" w:colFirst="0" w:colLast="0"/>
      <w:bookmarkEnd w:id="87"/>
      <w:r>
        <w:rPr>
          <w:b/>
        </w:rPr>
        <w:t>Quadro 37.</w:t>
      </w:r>
      <w:r>
        <w:t xml:space="preserve"> Avaliação de outras agências de ATS.</w:t>
      </w:r>
    </w:p>
    <w:tbl>
      <w:tblPr>
        <w:tblW w:w="8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187"/>
        <w:gridCol w:w="3402"/>
        <w:gridCol w:w="3318"/>
      </w:tblGrid>
      <w:tr w:rsidR="008238E6" w14:paraId="4FB5F06F" w14:textId="77777777">
        <w:trPr>
          <w:trHeight w:val="454"/>
          <w:jc w:val="center"/>
        </w:trPr>
        <w:tc>
          <w:tcPr>
            <w:tcW w:w="2187" w:type="dxa"/>
            <w:shd w:val="clear" w:color="auto" w:fill="D9E2F3"/>
            <w:vAlign w:val="center"/>
          </w:tcPr>
          <w:p w14:paraId="4FB5F06C" w14:textId="77777777" w:rsidR="008238E6" w:rsidRDefault="00D61AB3">
            <w:pPr>
              <w:spacing w:before="120" w:after="120"/>
              <w:jc w:val="center"/>
              <w:rPr>
                <w:b/>
              </w:rPr>
            </w:pPr>
            <w:r>
              <w:rPr>
                <w:b/>
              </w:rPr>
              <w:t>Agência</w:t>
            </w:r>
          </w:p>
        </w:tc>
        <w:tc>
          <w:tcPr>
            <w:tcW w:w="3402" w:type="dxa"/>
            <w:shd w:val="clear" w:color="auto" w:fill="D9E2F3"/>
            <w:vAlign w:val="center"/>
          </w:tcPr>
          <w:p w14:paraId="4FB5F06D" w14:textId="77777777" w:rsidR="008238E6" w:rsidRDefault="00D61AB3">
            <w:pPr>
              <w:spacing w:before="120" w:after="120"/>
              <w:jc w:val="center"/>
              <w:rPr>
                <w:b/>
              </w:rPr>
            </w:pPr>
            <w:r>
              <w:rPr>
                <w:b/>
              </w:rPr>
              <w:t>Proponente</w:t>
            </w:r>
          </w:p>
        </w:tc>
        <w:tc>
          <w:tcPr>
            <w:tcW w:w="3318" w:type="dxa"/>
            <w:shd w:val="clear" w:color="auto" w:fill="D9E2F3"/>
            <w:vAlign w:val="center"/>
          </w:tcPr>
          <w:p w14:paraId="4FB5F06E" w14:textId="77777777" w:rsidR="008238E6" w:rsidRDefault="00D61AB3">
            <w:pPr>
              <w:spacing w:before="120" w:after="120"/>
              <w:jc w:val="center"/>
              <w:rPr>
                <w:b/>
              </w:rPr>
            </w:pPr>
            <w:r>
              <w:rPr>
                <w:b/>
              </w:rPr>
              <w:t>Parecerista</w:t>
            </w:r>
          </w:p>
        </w:tc>
      </w:tr>
      <w:tr w:rsidR="008238E6" w14:paraId="4FB5F074" w14:textId="77777777">
        <w:trPr>
          <w:trHeight w:val="454"/>
          <w:jc w:val="center"/>
        </w:trPr>
        <w:tc>
          <w:tcPr>
            <w:tcW w:w="2187" w:type="dxa"/>
            <w:shd w:val="clear" w:color="auto" w:fill="auto"/>
            <w:vAlign w:val="center"/>
          </w:tcPr>
          <w:p w14:paraId="4FB5F070" w14:textId="77777777" w:rsidR="008238E6" w:rsidRDefault="00D61AB3">
            <w:pPr>
              <w:spacing w:before="120" w:after="120"/>
              <w:jc w:val="center"/>
              <w:rPr>
                <w:b/>
                <w:color w:val="000000"/>
              </w:rPr>
            </w:pPr>
            <w:r>
              <w:rPr>
                <w:b/>
                <w:color w:val="231F20"/>
                <w:highlight w:val="white"/>
              </w:rPr>
              <w:t>CDA</w:t>
            </w:r>
            <w:r>
              <w:rPr>
                <w:b/>
                <w:color w:val="000000"/>
              </w:rPr>
              <w:t>, Canadá</w:t>
            </w:r>
          </w:p>
          <w:p w14:paraId="4FB5F071" w14:textId="77777777" w:rsidR="008238E6" w:rsidRDefault="008238E6">
            <w:pPr>
              <w:spacing w:before="120" w:after="120"/>
              <w:jc w:val="center"/>
              <w:rPr>
                <w:b/>
              </w:rPr>
            </w:pPr>
            <w:hyperlink r:id="rId34">
              <w:r>
                <w:rPr>
                  <w:color w:val="1155CC"/>
                  <w:u w:val="single"/>
                </w:rPr>
                <w:t>http://www.cadth.ca</w:t>
              </w:r>
            </w:hyperlink>
          </w:p>
        </w:tc>
        <w:tc>
          <w:tcPr>
            <w:tcW w:w="3402" w:type="dxa"/>
            <w:shd w:val="clear" w:color="auto" w:fill="auto"/>
            <w:vAlign w:val="center"/>
          </w:tcPr>
          <w:p w14:paraId="4FB5F072" w14:textId="77777777" w:rsidR="008238E6" w:rsidRDefault="00D61AB3">
            <w:pPr>
              <w:spacing w:before="120" w:after="120"/>
              <w:jc w:val="center"/>
            </w:pPr>
            <w:r>
              <w:t>Não relatado.</w:t>
            </w:r>
          </w:p>
        </w:tc>
        <w:tc>
          <w:tcPr>
            <w:tcW w:w="3318" w:type="dxa"/>
            <w:vAlign w:val="center"/>
          </w:tcPr>
          <w:p w14:paraId="4FB5F073" w14:textId="77777777" w:rsidR="008238E6" w:rsidRDefault="00D61AB3">
            <w:pPr>
              <w:spacing w:before="120" w:after="120"/>
              <w:jc w:val="center"/>
              <w:rPr>
                <w:i/>
                <w:color w:val="FF0000"/>
              </w:rPr>
            </w:pPr>
            <w:r>
              <w:t>Não avaliado</w:t>
            </w:r>
          </w:p>
        </w:tc>
      </w:tr>
      <w:tr w:rsidR="008238E6" w14:paraId="4FB5F079" w14:textId="77777777">
        <w:trPr>
          <w:trHeight w:val="454"/>
          <w:jc w:val="center"/>
        </w:trPr>
        <w:tc>
          <w:tcPr>
            <w:tcW w:w="2187" w:type="dxa"/>
            <w:shd w:val="clear" w:color="auto" w:fill="auto"/>
            <w:vAlign w:val="center"/>
          </w:tcPr>
          <w:p w14:paraId="4FB5F075" w14:textId="77777777" w:rsidR="008238E6" w:rsidRDefault="00D61AB3">
            <w:pPr>
              <w:spacing w:before="120" w:after="120"/>
              <w:jc w:val="center"/>
              <w:rPr>
                <w:b/>
                <w:color w:val="000000"/>
              </w:rPr>
            </w:pPr>
            <w:r>
              <w:rPr>
                <w:b/>
                <w:color w:val="000000"/>
              </w:rPr>
              <w:t>Conitec, Brasil</w:t>
            </w:r>
          </w:p>
          <w:p w14:paraId="4FB5F076" w14:textId="77777777" w:rsidR="008238E6" w:rsidRDefault="008238E6">
            <w:pPr>
              <w:spacing w:before="120" w:after="120"/>
              <w:jc w:val="center"/>
              <w:rPr>
                <w:color w:val="000000"/>
              </w:rPr>
            </w:pPr>
            <w:hyperlink r:id="rId35">
              <w:r>
                <w:rPr>
                  <w:color w:val="0563C1"/>
                  <w:u w:val="single"/>
                </w:rPr>
                <w:t>http://conitec.gov.br</w:t>
              </w:r>
            </w:hyperlink>
          </w:p>
        </w:tc>
        <w:tc>
          <w:tcPr>
            <w:tcW w:w="3402" w:type="dxa"/>
            <w:shd w:val="clear" w:color="auto" w:fill="auto"/>
            <w:vAlign w:val="center"/>
          </w:tcPr>
          <w:p w14:paraId="4FB5F077" w14:textId="77777777" w:rsidR="008238E6" w:rsidRDefault="00D61AB3">
            <w:pPr>
              <w:spacing w:before="120" w:after="120"/>
              <w:jc w:val="center"/>
            </w:pPr>
            <w:r>
              <w:t>Não relatado.</w:t>
            </w:r>
          </w:p>
        </w:tc>
        <w:tc>
          <w:tcPr>
            <w:tcW w:w="3318" w:type="dxa"/>
            <w:vAlign w:val="center"/>
          </w:tcPr>
          <w:p w14:paraId="4FB5F078" w14:textId="77777777" w:rsidR="008238E6" w:rsidRDefault="00D61AB3">
            <w:pPr>
              <w:spacing w:before="120" w:after="120"/>
              <w:jc w:val="center"/>
              <w:rPr>
                <w:i/>
                <w:color w:val="FF0000"/>
              </w:rPr>
            </w:pPr>
            <w:r>
              <w:t>Não avaliado</w:t>
            </w:r>
          </w:p>
        </w:tc>
      </w:tr>
      <w:tr w:rsidR="008238E6" w14:paraId="4FB5F07D" w14:textId="77777777">
        <w:trPr>
          <w:trHeight w:val="454"/>
          <w:jc w:val="center"/>
        </w:trPr>
        <w:tc>
          <w:tcPr>
            <w:tcW w:w="2187" w:type="dxa"/>
            <w:shd w:val="clear" w:color="auto" w:fill="auto"/>
            <w:vAlign w:val="center"/>
          </w:tcPr>
          <w:p w14:paraId="4FB5F07A" w14:textId="77777777" w:rsidR="008238E6" w:rsidRDefault="00D61AB3">
            <w:pPr>
              <w:spacing w:before="120" w:after="120"/>
              <w:jc w:val="center"/>
              <w:rPr>
                <w:b/>
                <w:color w:val="000000"/>
              </w:rPr>
            </w:pPr>
            <w:r>
              <w:rPr>
                <w:b/>
                <w:color w:val="000000"/>
              </w:rPr>
              <w:t xml:space="preserve">NICE, Inglaterra </w:t>
            </w:r>
            <w:hyperlink r:id="rId36">
              <w:r w:rsidR="008238E6">
                <w:rPr>
                  <w:color w:val="0563C1"/>
                  <w:u w:val="single"/>
                </w:rPr>
                <w:t>www.nice.org.uk</w:t>
              </w:r>
            </w:hyperlink>
          </w:p>
        </w:tc>
        <w:tc>
          <w:tcPr>
            <w:tcW w:w="3402" w:type="dxa"/>
            <w:shd w:val="clear" w:color="auto" w:fill="auto"/>
            <w:vAlign w:val="center"/>
          </w:tcPr>
          <w:p w14:paraId="4FB5F07B" w14:textId="77777777" w:rsidR="008238E6" w:rsidRDefault="00D61AB3">
            <w:pPr>
              <w:spacing w:before="120" w:after="120"/>
              <w:jc w:val="center"/>
            </w:pPr>
            <w:r>
              <w:t>Não relatado.</w:t>
            </w:r>
          </w:p>
        </w:tc>
        <w:tc>
          <w:tcPr>
            <w:tcW w:w="3318" w:type="dxa"/>
            <w:vAlign w:val="center"/>
          </w:tcPr>
          <w:p w14:paraId="4FB5F07C" w14:textId="77777777" w:rsidR="008238E6" w:rsidRDefault="00D61AB3">
            <w:pPr>
              <w:spacing w:before="120" w:after="120"/>
              <w:jc w:val="center"/>
              <w:rPr>
                <w:i/>
                <w:color w:val="FF0000"/>
              </w:rPr>
            </w:pPr>
            <w:r>
              <w:t>Não avaliado</w:t>
            </w:r>
          </w:p>
        </w:tc>
      </w:tr>
      <w:tr w:rsidR="008238E6" w14:paraId="4FB5F082" w14:textId="77777777">
        <w:trPr>
          <w:trHeight w:val="454"/>
          <w:jc w:val="center"/>
        </w:trPr>
        <w:tc>
          <w:tcPr>
            <w:tcW w:w="2187" w:type="dxa"/>
            <w:shd w:val="clear" w:color="auto" w:fill="auto"/>
            <w:vAlign w:val="center"/>
          </w:tcPr>
          <w:p w14:paraId="4FB5F07E" w14:textId="77777777" w:rsidR="008238E6" w:rsidRDefault="00D61AB3">
            <w:pPr>
              <w:spacing w:before="120" w:after="120"/>
              <w:jc w:val="center"/>
              <w:rPr>
                <w:b/>
              </w:rPr>
            </w:pPr>
            <w:r>
              <w:rPr>
                <w:b/>
              </w:rPr>
              <w:t>MSAC, Austrália</w:t>
            </w:r>
          </w:p>
          <w:p w14:paraId="4FB5F07F" w14:textId="77777777" w:rsidR="008238E6" w:rsidRDefault="008238E6">
            <w:pPr>
              <w:spacing w:before="120" w:after="120"/>
              <w:jc w:val="center"/>
            </w:pPr>
            <w:hyperlink r:id="rId37">
              <w:r>
                <w:rPr>
                  <w:color w:val="1155CC"/>
                  <w:u w:val="single"/>
                </w:rPr>
                <w:t>http://www.msac.gov.au/</w:t>
              </w:r>
            </w:hyperlink>
          </w:p>
        </w:tc>
        <w:tc>
          <w:tcPr>
            <w:tcW w:w="3402" w:type="dxa"/>
            <w:shd w:val="clear" w:color="auto" w:fill="auto"/>
            <w:vAlign w:val="center"/>
          </w:tcPr>
          <w:p w14:paraId="4FB5F080" w14:textId="77777777" w:rsidR="008238E6" w:rsidRDefault="00D61AB3">
            <w:pPr>
              <w:spacing w:before="120" w:after="120"/>
              <w:jc w:val="center"/>
            </w:pPr>
            <w:r>
              <w:t>Não relatado.</w:t>
            </w:r>
          </w:p>
        </w:tc>
        <w:tc>
          <w:tcPr>
            <w:tcW w:w="3318" w:type="dxa"/>
            <w:vAlign w:val="center"/>
          </w:tcPr>
          <w:p w14:paraId="4FB5F081" w14:textId="77777777" w:rsidR="008238E6" w:rsidRDefault="00D61AB3">
            <w:pPr>
              <w:spacing w:before="120" w:after="120"/>
              <w:jc w:val="center"/>
              <w:rPr>
                <w:i/>
                <w:color w:val="FF0000"/>
              </w:rPr>
            </w:pPr>
            <w:r>
              <w:t>Não avaliado</w:t>
            </w:r>
          </w:p>
        </w:tc>
      </w:tr>
      <w:tr w:rsidR="008238E6" w14:paraId="4FB5F086" w14:textId="77777777">
        <w:trPr>
          <w:trHeight w:val="454"/>
          <w:jc w:val="center"/>
        </w:trPr>
        <w:tc>
          <w:tcPr>
            <w:tcW w:w="2187" w:type="dxa"/>
            <w:shd w:val="clear" w:color="auto" w:fill="auto"/>
            <w:vAlign w:val="center"/>
          </w:tcPr>
          <w:p w14:paraId="4FB5F083" w14:textId="77777777" w:rsidR="008238E6" w:rsidRDefault="00D61AB3">
            <w:pPr>
              <w:spacing w:before="120" w:after="120"/>
              <w:jc w:val="center"/>
              <w:rPr>
                <w:b/>
              </w:rPr>
            </w:pPr>
            <w:r>
              <w:rPr>
                <w:b/>
              </w:rPr>
              <w:t xml:space="preserve">SMC, Escócia </w:t>
            </w:r>
            <w:hyperlink r:id="rId38">
              <w:r w:rsidR="008238E6">
                <w:rPr>
                  <w:color w:val="0563C1"/>
                  <w:u w:val="single"/>
                </w:rPr>
                <w:t>https://www.scottishmedicines.org.uk/Home</w:t>
              </w:r>
            </w:hyperlink>
          </w:p>
        </w:tc>
        <w:tc>
          <w:tcPr>
            <w:tcW w:w="3402" w:type="dxa"/>
            <w:shd w:val="clear" w:color="auto" w:fill="auto"/>
            <w:vAlign w:val="center"/>
          </w:tcPr>
          <w:p w14:paraId="4FB5F084" w14:textId="77777777" w:rsidR="008238E6" w:rsidRDefault="00D61AB3">
            <w:pPr>
              <w:spacing w:before="120" w:after="120"/>
              <w:jc w:val="center"/>
            </w:pPr>
            <w:r>
              <w:t>Não relatado.</w:t>
            </w:r>
          </w:p>
        </w:tc>
        <w:tc>
          <w:tcPr>
            <w:tcW w:w="3318" w:type="dxa"/>
            <w:vAlign w:val="center"/>
          </w:tcPr>
          <w:p w14:paraId="4FB5F085" w14:textId="77777777" w:rsidR="008238E6" w:rsidRDefault="00D61AB3">
            <w:pPr>
              <w:spacing w:before="120" w:after="120"/>
              <w:jc w:val="center"/>
              <w:rPr>
                <w:i/>
                <w:color w:val="FF0000"/>
              </w:rPr>
            </w:pPr>
            <w:r>
              <w:t>Não avaliado</w:t>
            </w:r>
          </w:p>
        </w:tc>
      </w:tr>
    </w:tbl>
    <w:p w14:paraId="4FB5F087" w14:textId="77777777" w:rsidR="008238E6" w:rsidRDefault="00D61AB3">
      <w:pPr>
        <w:spacing w:before="0" w:after="0" w:line="240" w:lineRule="auto"/>
        <w:jc w:val="center"/>
        <w:rPr>
          <w:sz w:val="18"/>
          <w:szCs w:val="18"/>
        </w:rPr>
      </w:pPr>
      <w:r>
        <w:rPr>
          <w:sz w:val="18"/>
          <w:szCs w:val="18"/>
        </w:rPr>
        <w:t xml:space="preserve">CAD: </w:t>
      </w:r>
      <w:r>
        <w:rPr>
          <w:i/>
          <w:sz w:val="18"/>
          <w:szCs w:val="18"/>
        </w:rPr>
        <w:t>Canada’s Drug Agency</w:t>
      </w:r>
      <w:r>
        <w:rPr>
          <w:sz w:val="18"/>
          <w:szCs w:val="18"/>
        </w:rPr>
        <w:t xml:space="preserve">; Conitec: </w:t>
      </w:r>
      <w:r>
        <w:rPr>
          <w:i/>
          <w:sz w:val="18"/>
          <w:szCs w:val="18"/>
        </w:rPr>
        <w:t xml:space="preserve">Comissão Nacional de Incorporação de Tecnologias no SUS; </w:t>
      </w:r>
      <w:r>
        <w:rPr>
          <w:sz w:val="18"/>
          <w:szCs w:val="18"/>
        </w:rPr>
        <w:t xml:space="preserve">NICE: </w:t>
      </w:r>
      <w:r>
        <w:rPr>
          <w:i/>
          <w:sz w:val="18"/>
          <w:szCs w:val="18"/>
        </w:rPr>
        <w:t>National Institute for Health and Care Excellence; MSAC:Medical Services Advisory Committee; SMC: Scottish Medicines Consortium.</w:t>
      </w:r>
    </w:p>
    <w:p w14:paraId="4FB5F088" w14:textId="77777777" w:rsidR="008238E6" w:rsidRDefault="008238E6">
      <w:bookmarkStart w:id="88" w:name="_heading=h.2r0uhxc" w:colFirst="0" w:colLast="0"/>
      <w:bookmarkEnd w:id="88"/>
    </w:p>
    <w:p w14:paraId="4FB5F089" w14:textId="77777777" w:rsidR="008238E6" w:rsidRDefault="00D61AB3">
      <w:pPr>
        <w:pStyle w:val="Heading2"/>
      </w:pPr>
      <w:bookmarkStart w:id="89" w:name="_heading=h.1664s55" w:colFirst="0" w:colLast="0"/>
      <w:bookmarkEnd w:id="89"/>
      <w:r>
        <w:t>8.2 Considerações sobre a implementação</w:t>
      </w:r>
    </w:p>
    <w:p w14:paraId="4FB5F08A" w14:textId="77777777" w:rsidR="008238E6" w:rsidRDefault="00D61AB3">
      <w:r>
        <w:t>Não foram identificadas necessidades de adequação de infraestrutura, equipamentos específicos ou outras tecnologias necessárias para a utilização da tecnologia que não estejam contempladas no Rol vigente da ANS.</w:t>
      </w:r>
    </w:p>
    <w:p w14:paraId="4FB5F08B" w14:textId="77777777" w:rsidR="008238E6" w:rsidRDefault="008238E6"/>
    <w:p w14:paraId="4FB5F08C" w14:textId="77777777" w:rsidR="008238E6" w:rsidRDefault="00D61AB3">
      <w:pPr>
        <w:pStyle w:val="Heading2"/>
      </w:pPr>
      <w:bookmarkStart w:id="90" w:name="_heading=h.3q5sasy" w:colFirst="0" w:colLast="0"/>
      <w:bookmarkEnd w:id="90"/>
      <w:r>
        <w:t>8.3. Conclusões</w:t>
      </w:r>
    </w:p>
    <w:p w14:paraId="4FB5F08D" w14:textId="77777777" w:rsidR="008238E6" w:rsidRDefault="00D61AB3">
      <w:pPr>
        <w:ind w:firstLine="720"/>
      </w:pPr>
      <w:r>
        <w:t>A evidência atualmente disponível sobre eficácia e segurança do Teste genético para diagnóstico do diabetes tipo MODY é baseada em duas coortes (Shepherd em 2009 e 2018), com certeza da evidência baixa para o desfecho da mudança na farmacoterapia. As principais limitações da análise estão associadas ao número reduzido de estudos que avaliam o impacto clínico da mudança farmacoterapêutica em pacientes com suspeita de MODY. Além disso, os estudos não abordam os dados referentes a eventos adversos relacionados ao tratamento com insulina, ao controle glicêmico e às complicações crônicas do diabetes. No que diz respeito ao controle glicêmico, as investigações consideraram apenas os pacientes que já haviam sido diagnosticados por meio do teste genético, o que impede a mensuração do impacto dessa intervenção antes da aplicação do teste após um diagnóstico clínico.</w:t>
      </w:r>
    </w:p>
    <w:p w14:paraId="4FB5F08E" w14:textId="24586768" w:rsidR="008238E6" w:rsidRDefault="00D61AB3">
      <w:pPr>
        <w:ind w:firstLine="720"/>
        <w:rPr>
          <w:highlight w:val="yellow"/>
        </w:rPr>
      </w:pPr>
      <w:r>
        <w:t xml:space="preserve">O estudo de custo-utilidade mostrou uma razão de custo-efetividade incremental de </w:t>
      </w:r>
      <w:r w:rsidR="1EE6BEC0">
        <w:t>R</w:t>
      </w:r>
      <w:r>
        <w:t xml:space="preserve">$ 646,29 </w:t>
      </w:r>
      <w:r w:rsidR="64C5CA27">
        <w:t>por ano de vida ajustado pela qualidade (</w:t>
      </w:r>
      <w:r>
        <w:t>AVAQ</w:t>
      </w:r>
      <w:r w:rsidR="0974045A">
        <w:t>)</w:t>
      </w:r>
      <w:r>
        <w:t xml:space="preserve"> com o uso de teste genético para o diagnóstico de diabetes tipo MODY em comparação com não realizar o teste genético e seguir tratando incorretamente os pacientes MODY como se fossem diabetes tipo 1 no longo prazo, considerando a perspectiva da saúde suplementar.</w:t>
      </w:r>
    </w:p>
    <w:p w14:paraId="4FB5F08F" w14:textId="5336DB15" w:rsidR="008238E6" w:rsidRDefault="00B55674">
      <w:pPr>
        <w:ind w:firstLine="720"/>
      </w:pPr>
      <w:r>
        <w:t xml:space="preserve">O impacto orçamentário incremental com o cenário projetado considerando a disponibilização do teste genético para MODY foi de R$ </w:t>
      </w:r>
      <w:r w:rsidR="00F31A29">
        <w:t xml:space="preserve">663.204.619,91 </w:t>
      </w:r>
      <w:r>
        <w:t xml:space="preserve">em comparação com o cenário atual, em um horizonte temporal de 5 ANOS. </w:t>
      </w:r>
    </w:p>
    <w:p w14:paraId="4FB5F090" w14:textId="77777777" w:rsidR="008238E6" w:rsidRDefault="008238E6">
      <w:pPr>
        <w:ind w:firstLine="720"/>
      </w:pPr>
    </w:p>
    <w:p w14:paraId="4FB5F091" w14:textId="77777777" w:rsidR="008238E6" w:rsidRDefault="008238E6">
      <w:pPr>
        <w:ind w:firstLine="720"/>
      </w:pPr>
    </w:p>
    <w:p w14:paraId="4FB5F092" w14:textId="77777777" w:rsidR="008238E6" w:rsidRDefault="008238E6">
      <w:pPr>
        <w:ind w:firstLine="720"/>
      </w:pPr>
    </w:p>
    <w:p w14:paraId="4FB5F093" w14:textId="77777777" w:rsidR="008238E6" w:rsidRDefault="008238E6">
      <w:pPr>
        <w:ind w:firstLine="720"/>
      </w:pPr>
    </w:p>
    <w:p w14:paraId="4FB5F094" w14:textId="77777777" w:rsidR="008238E6" w:rsidRDefault="008238E6">
      <w:pPr>
        <w:ind w:firstLine="720"/>
      </w:pPr>
    </w:p>
    <w:p w14:paraId="4FB5F095" w14:textId="77777777" w:rsidR="008238E6" w:rsidRDefault="008238E6">
      <w:pPr>
        <w:ind w:firstLine="720"/>
      </w:pPr>
    </w:p>
    <w:p w14:paraId="4FB5F096" w14:textId="77777777" w:rsidR="008238E6" w:rsidRDefault="008238E6">
      <w:pPr>
        <w:ind w:firstLine="720"/>
      </w:pPr>
    </w:p>
    <w:p w14:paraId="4FB5F097" w14:textId="77777777" w:rsidR="008238E6" w:rsidRDefault="008238E6">
      <w:pPr>
        <w:ind w:firstLine="720"/>
      </w:pPr>
    </w:p>
    <w:p w14:paraId="4FB5F098" w14:textId="77777777" w:rsidR="008238E6" w:rsidRDefault="008238E6">
      <w:pPr>
        <w:ind w:firstLine="720"/>
      </w:pPr>
    </w:p>
    <w:p w14:paraId="4FB5F099" w14:textId="77777777" w:rsidR="008238E6" w:rsidRDefault="00D61AB3">
      <w:pPr>
        <w:pStyle w:val="Heading1"/>
      </w:pPr>
      <w:bookmarkStart w:id="91" w:name="_heading=h.34g0dwd" w:colFirst="0" w:colLast="0"/>
      <w:bookmarkEnd w:id="91"/>
      <w:r>
        <w:t>9. REFERÊNCIAS</w:t>
      </w:r>
    </w:p>
    <w:p w14:paraId="4FB5F09A" w14:textId="77777777" w:rsidR="008238E6" w:rsidRDefault="00D61AB3">
      <w:pPr>
        <w:numPr>
          <w:ilvl w:val="0"/>
          <w:numId w:val="5"/>
        </w:numPr>
        <w:pBdr>
          <w:top w:val="nil"/>
          <w:left w:val="nil"/>
          <w:bottom w:val="nil"/>
          <w:right w:val="nil"/>
          <w:between w:val="nil"/>
        </w:pBdr>
        <w:spacing w:before="0" w:after="0"/>
        <w:ind w:left="714" w:hanging="357"/>
        <w:rPr>
          <w:color w:val="000000"/>
        </w:rPr>
      </w:pPr>
      <w:r>
        <w:rPr>
          <w:color w:val="000000"/>
        </w:rPr>
        <w:t>BRASIL. Ministério da Saúde. Secretaria de Ciência, Tecnologia, Inovação e Insumos Estratégicos em Saúde. Departamento de Gestão e Incorporação de Tecnologias em Saúde. Diretrizes metodológicas: elaboração de revisão sistemática e meta-análise de ensaios clínicos randomizados [recurso eletrônico] / Ministério da Saúde, Secretaria de Ciência, Tecnologia, Inovação e Insumos Estratégicos em Saúde, Departamento de Gestão e Incorporação de Tecnologias em Saúde. – Brasília: Ministério da Saúde, 2021. 93 p.: il.</w:t>
      </w:r>
    </w:p>
    <w:p w14:paraId="4FB5F09B" w14:textId="77777777" w:rsidR="008238E6" w:rsidRDefault="00D61AB3">
      <w:pPr>
        <w:numPr>
          <w:ilvl w:val="0"/>
          <w:numId w:val="5"/>
        </w:numPr>
        <w:pBdr>
          <w:top w:val="nil"/>
          <w:left w:val="nil"/>
          <w:bottom w:val="nil"/>
          <w:right w:val="nil"/>
          <w:between w:val="nil"/>
        </w:pBdr>
        <w:spacing w:before="0" w:after="0"/>
        <w:ind w:left="714" w:hanging="357"/>
        <w:rPr>
          <w:color w:val="000000"/>
        </w:rPr>
      </w:pPr>
      <w:r>
        <w:rPr>
          <w:color w:val="000000"/>
        </w:rPr>
        <w:t>BRASIL. Ministério da Saúde. Secretaria de Ciência, Tecnologia, Inovação e Insumos Estratégicos em Saúde. Departamento de Gestão e Incorporação de Tecnologias e Inovação em Saúde. Diretrizes metodológicas: elaboração de pareceres técnico-científicos [recurso eletrônico] / Ministério da Saúde, Secretaria de Ciência, Tecnologia, Inovação e Insumos Estratégicos em Saúde, Departamento de Gestão e Incorporação de Tecnologias e Inovação em Saúde. – Brasília: Ministério da Saúde, 2021. 122 p.: il.</w:t>
      </w:r>
    </w:p>
    <w:p w14:paraId="4FB5F09C" w14:textId="77777777" w:rsidR="008238E6" w:rsidRDefault="00D61AB3">
      <w:pPr>
        <w:numPr>
          <w:ilvl w:val="0"/>
          <w:numId w:val="5"/>
        </w:numPr>
        <w:pBdr>
          <w:top w:val="nil"/>
          <w:left w:val="nil"/>
          <w:bottom w:val="nil"/>
          <w:right w:val="nil"/>
          <w:between w:val="nil"/>
        </w:pBdr>
        <w:spacing w:before="0" w:after="0"/>
        <w:ind w:left="714" w:hanging="357"/>
        <w:rPr>
          <w:color w:val="000000"/>
        </w:rPr>
      </w:pPr>
      <w:r>
        <w:rPr>
          <w:color w:val="000000"/>
        </w:rPr>
        <w:t>BRASIL. Ministério da Saúde. Secretaria de Ciência, Tecnologia e Insumos Estratégicos. Departamento de Ciência e Tecnologia. Diretrizes metodológicas: Diretriz de Avaliação Econômica / Ministério da Saúde, Secretaria de Ciência, Tecnologia e Insumos Estratégicos, Departamento de Ciência e Tecnologia. – 2. ed. – Brasília: Ministério da Saúde, 2014. 132 p.:il.</w:t>
      </w:r>
    </w:p>
    <w:p w14:paraId="4FB5F09D" w14:textId="77777777" w:rsidR="008238E6" w:rsidRDefault="00D61AB3">
      <w:pPr>
        <w:numPr>
          <w:ilvl w:val="0"/>
          <w:numId w:val="5"/>
        </w:numPr>
        <w:pBdr>
          <w:top w:val="nil"/>
          <w:left w:val="nil"/>
          <w:bottom w:val="nil"/>
          <w:right w:val="nil"/>
          <w:between w:val="nil"/>
        </w:pBdr>
        <w:spacing w:before="0" w:after="0"/>
        <w:ind w:left="714" w:hanging="357"/>
        <w:rPr>
          <w:color w:val="000000"/>
        </w:rPr>
      </w:pPr>
      <w:r>
        <w:rPr>
          <w:color w:val="000000"/>
        </w:rPr>
        <w:t>BRASIL. Ministério da Saúde. Secretaria de Ciência, Tecnologia e Insumos Estratégicos. Departamento de Ciência e Tecnologia. Diretrizes metodológicas: análise de impacto orçamentário: manual para o Sistema de Saúde do Brasil / Ministério da Saúde, Secretaria de Ciência, Tecnologia e Insumos Estratégicos. Departamento de Ciência e Tecnologia. 1. ed., 1. reimpr. – Brasília: Ministério da Saúde, 2014. 76 p.: il.</w:t>
      </w:r>
    </w:p>
    <w:p w14:paraId="4FB5F09E" w14:textId="77777777" w:rsidR="008238E6" w:rsidRDefault="00D61AB3">
      <w:pPr>
        <w:numPr>
          <w:ilvl w:val="0"/>
          <w:numId w:val="5"/>
        </w:numPr>
        <w:pBdr>
          <w:top w:val="nil"/>
          <w:left w:val="nil"/>
          <w:bottom w:val="nil"/>
          <w:right w:val="nil"/>
          <w:between w:val="nil"/>
        </w:pBdr>
        <w:spacing w:before="0" w:after="0"/>
        <w:ind w:left="714" w:hanging="357"/>
      </w:pPr>
      <w:r>
        <w:t>ASSOCIAÇÃO BRASILEIRA DE DIABETES. Posicionamento sobre jovens com diabetes. 2021. Disponível em: https://profissional.diabetes.org.br/wp-content/uploads/2021/06/Posicionamento_Jovem19_12474v8_brMAR.pdf. Acesso em: 29 ago. 2024.</w:t>
      </w:r>
    </w:p>
    <w:p w14:paraId="4FB5F09F" w14:textId="77777777" w:rsidR="008238E6" w:rsidRDefault="00D61AB3">
      <w:pPr>
        <w:numPr>
          <w:ilvl w:val="0"/>
          <w:numId w:val="5"/>
        </w:numPr>
        <w:pBdr>
          <w:top w:val="nil"/>
          <w:left w:val="nil"/>
          <w:bottom w:val="nil"/>
          <w:right w:val="nil"/>
          <w:between w:val="nil"/>
        </w:pBdr>
        <w:spacing w:before="0" w:after="0"/>
        <w:ind w:left="714" w:hanging="357"/>
      </w:pPr>
      <w:r>
        <w:t>DIABETES BRASIL. Classificação do diabetes. Disponível em: https://diretriz.diabetes.org.br/classificacao-do-diabetes/. Acesso em: 29 ago. 2024.</w:t>
      </w:r>
    </w:p>
    <w:p w14:paraId="4FB5F0A0" w14:textId="77777777" w:rsidR="008238E6" w:rsidRDefault="00D61AB3">
      <w:pPr>
        <w:numPr>
          <w:ilvl w:val="0"/>
          <w:numId w:val="5"/>
        </w:numPr>
        <w:pBdr>
          <w:top w:val="nil"/>
          <w:left w:val="nil"/>
          <w:bottom w:val="nil"/>
          <w:right w:val="nil"/>
          <w:between w:val="nil"/>
        </w:pBdr>
        <w:spacing w:before="0" w:after="0"/>
        <w:ind w:left="714" w:hanging="357"/>
      </w:pPr>
      <w:r>
        <w:t>OLIVEIRA, Carolina S.V.; FURUZAWA, Gilberto K.; REIS, André F. Diabetes Mellitus do Tipo MODY. Arquivos Brasileiros de Endocrinologia e Metabologia, v. 46, n. 2, p. 123-130, abr. 2002. Disponível em: https://doi.org/10.1590/S0004-27302002000200012. Acesso em: 29 ago. 2024.</w:t>
      </w:r>
    </w:p>
    <w:p w14:paraId="4FB5F0A1" w14:textId="77777777" w:rsidR="008238E6" w:rsidRDefault="00D61AB3">
      <w:pPr>
        <w:numPr>
          <w:ilvl w:val="0"/>
          <w:numId w:val="5"/>
        </w:numPr>
        <w:pBdr>
          <w:top w:val="nil"/>
          <w:left w:val="nil"/>
          <w:bottom w:val="nil"/>
          <w:right w:val="nil"/>
          <w:between w:val="nil"/>
        </w:pBdr>
        <w:spacing w:before="0" w:after="0"/>
        <w:ind w:left="714" w:hanging="357"/>
      </w:pPr>
      <w:r>
        <w:t>Shepherd MH, Shields BM, Hudson M, Pearson ER, Hyde C, Ellard S, et al. A UK nationwide prospective study of treatment change in MODY: genetic subtype and clinical characteristics predict optimal glycaemic control after discontinuing insulin and metformin. Diabetologia. 2018;61(12):2520–7.</w:t>
      </w:r>
    </w:p>
    <w:p w14:paraId="4FB5F0A2" w14:textId="77777777" w:rsidR="008238E6" w:rsidRDefault="00D61AB3">
      <w:pPr>
        <w:numPr>
          <w:ilvl w:val="0"/>
          <w:numId w:val="5"/>
        </w:numPr>
        <w:pBdr>
          <w:top w:val="nil"/>
          <w:left w:val="nil"/>
          <w:bottom w:val="nil"/>
          <w:right w:val="nil"/>
          <w:between w:val="nil"/>
        </w:pBdr>
        <w:spacing w:before="0" w:after="0"/>
        <w:ind w:left="714" w:hanging="357"/>
      </w:pPr>
      <w:r>
        <w:t>Shepherd M, Shields B, Ellard S, Rubio-Cabezas O, Hattersley AT. A genetic diagnosis of HNF1A diabetes alters treatment and improves glycaemic control in the majority of insulin-treated patients. Diabet Med. 2009;26(4):437–41.</w:t>
      </w:r>
    </w:p>
    <w:p w14:paraId="4FB5F0A3" w14:textId="77777777" w:rsidR="008238E6" w:rsidRDefault="00D61AB3">
      <w:pPr>
        <w:numPr>
          <w:ilvl w:val="0"/>
          <w:numId w:val="5"/>
        </w:numPr>
        <w:pBdr>
          <w:top w:val="nil"/>
          <w:left w:val="nil"/>
          <w:bottom w:val="nil"/>
          <w:right w:val="nil"/>
          <w:between w:val="nil"/>
        </w:pBdr>
        <w:spacing w:before="0" w:after="0"/>
        <w:ind w:left="714" w:hanging="357"/>
      </w:pPr>
      <w:r>
        <w:t>Campos Franco P, Santos de Santana L, Dantas Costa-Riquetto A, Santomauro Junior AC, Jorge AAL, Gurgel Teles M. Clinical and genetic characterization and long-term evaluation of individuals with maturity-onset diabetes of the young (MODY): The journey towards appropriate treatment. Diabetes Res Clin Pract. 2022;187(March).</w:t>
      </w:r>
    </w:p>
    <w:p w14:paraId="4FB5F0A4" w14:textId="77777777" w:rsidR="008238E6" w:rsidRDefault="00D61AB3">
      <w:pPr>
        <w:numPr>
          <w:ilvl w:val="0"/>
          <w:numId w:val="5"/>
        </w:numPr>
        <w:pBdr>
          <w:top w:val="nil"/>
          <w:left w:val="nil"/>
          <w:bottom w:val="nil"/>
          <w:right w:val="nil"/>
          <w:between w:val="nil"/>
        </w:pBdr>
        <w:spacing w:before="0" w:after="0"/>
        <w:ind w:left="714" w:hanging="357"/>
      </w:pPr>
      <w:r>
        <w:t>Li X, Ting TH, Sheng H, Liang CL, Shao Y, Jiang M, et al. Genetic and clinical characteristics of Chinese children with Glucokinase-maturity-onset diabetes of the young (GCK-MODY). BMC Pediatr. 2018;18(1):1–8.</w:t>
      </w:r>
    </w:p>
    <w:p w14:paraId="4FB5F0A5" w14:textId="77777777" w:rsidR="008238E6" w:rsidRDefault="00D61AB3">
      <w:pPr>
        <w:numPr>
          <w:ilvl w:val="0"/>
          <w:numId w:val="5"/>
        </w:numPr>
        <w:pBdr>
          <w:top w:val="nil"/>
          <w:left w:val="nil"/>
          <w:bottom w:val="nil"/>
          <w:right w:val="nil"/>
          <w:between w:val="nil"/>
        </w:pBdr>
        <w:spacing w:before="0" w:after="0"/>
        <w:ind w:left="714" w:hanging="357"/>
      </w:pPr>
      <w:r>
        <w:t>Reilly F, Sanchez-Lechuga B, Clinton S, Crowe G, Burke M, Ng N, et al. Phenotype, genotype and glycaemic variability in people with activating mutations in the ABCC8 gene: response to appropriate therapy. Diabet Med. 2020;37(5):876–84.</w:t>
      </w:r>
    </w:p>
    <w:p w14:paraId="4FB5F0A6" w14:textId="77777777" w:rsidR="008238E6" w:rsidRDefault="00D61AB3">
      <w:pPr>
        <w:numPr>
          <w:ilvl w:val="0"/>
          <w:numId w:val="5"/>
        </w:numPr>
        <w:pBdr>
          <w:top w:val="nil"/>
          <w:left w:val="nil"/>
          <w:bottom w:val="nil"/>
          <w:right w:val="nil"/>
          <w:between w:val="nil"/>
        </w:pBdr>
        <w:spacing w:before="0" w:after="0"/>
        <w:ind w:left="714" w:hanging="357"/>
      </w:pPr>
      <w:r>
        <w:t>Pearson ER, Starkey BJ, Powell RJ, Gribble FM, Clark PM, Hattersley AT. Genetic cause of hyperglycaemia and response to treatment in diabetes. Lancet. 2003;362(9392):1275–81.</w:t>
      </w:r>
    </w:p>
    <w:p w14:paraId="4FB5F0A7" w14:textId="77777777" w:rsidR="008238E6" w:rsidRDefault="00D61AB3">
      <w:pPr>
        <w:numPr>
          <w:ilvl w:val="0"/>
          <w:numId w:val="5"/>
        </w:numPr>
        <w:pBdr>
          <w:top w:val="nil"/>
          <w:left w:val="nil"/>
          <w:bottom w:val="nil"/>
          <w:right w:val="nil"/>
          <w:between w:val="nil"/>
        </w:pBdr>
        <w:spacing w:before="0" w:after="0"/>
        <w:ind w:left="714" w:hanging="357"/>
      </w:pPr>
      <w:r>
        <w:t xml:space="preserve">Santomauro Jr. et al. Diabetology &amp; Metabolic Syndrome (2023) 15:15. The performance of the MODY calculator in a non-Caucasian, mixed-race population diagnosed with diabetes mellitus before 35 years of age. </w:t>
      </w:r>
      <w:hyperlink r:id="rId39">
        <w:r w:rsidR="008238E6">
          <w:rPr>
            <w:color w:val="1155CC"/>
            <w:u w:val="single"/>
          </w:rPr>
          <w:t>https://doi.org/10.1186/s13098-023-00985-3</w:t>
        </w:r>
      </w:hyperlink>
    </w:p>
    <w:p w14:paraId="4FB5F0A8" w14:textId="77777777" w:rsidR="008238E6" w:rsidRDefault="00D61AB3">
      <w:pPr>
        <w:numPr>
          <w:ilvl w:val="0"/>
          <w:numId w:val="5"/>
        </w:numPr>
        <w:pBdr>
          <w:top w:val="nil"/>
          <w:left w:val="nil"/>
          <w:bottom w:val="nil"/>
          <w:right w:val="nil"/>
          <w:between w:val="nil"/>
        </w:pBdr>
        <w:spacing w:before="0" w:after="0"/>
        <w:ind w:left="714" w:hanging="357"/>
      </w:pPr>
      <w:r>
        <w:t xml:space="preserve">Rodacki M, Teles M, Gabbay M, Montenegro R, Bertoluci M, Rodrigo Lamounier. Classificação do diabetes. Diretriz Oficial da Sociedade Brasileira de Diabetes (2023). DOI: 10.29327/557753.2022-1, ISBN: 978-85-5722-906-8. </w:t>
      </w:r>
      <w:hyperlink r:id="rId40">
        <w:r w:rsidR="008238E6">
          <w:rPr>
            <w:color w:val="1155CC"/>
            <w:u w:val="single"/>
          </w:rPr>
          <w:t>https://diretriz.diabetes.org.br/classificacao-do-diabetes/</w:t>
        </w:r>
      </w:hyperlink>
    </w:p>
    <w:p w14:paraId="4FB5F0A9" w14:textId="77777777" w:rsidR="008238E6" w:rsidRDefault="00D61AB3">
      <w:pPr>
        <w:numPr>
          <w:ilvl w:val="0"/>
          <w:numId w:val="5"/>
        </w:numPr>
        <w:pBdr>
          <w:top w:val="nil"/>
          <w:left w:val="nil"/>
          <w:bottom w:val="nil"/>
          <w:right w:val="nil"/>
          <w:between w:val="nil"/>
        </w:pBdr>
        <w:spacing w:before="0" w:after="0"/>
        <w:ind w:left="714" w:hanging="357"/>
      </w:pPr>
      <w:r>
        <w:t xml:space="preserve">Jing Zhao, Yan Chen, Fuhui Ma, Hua Shu, Li Zheng, Yang Liu, Xia Li, Tao Xu, Zhiguang Zhou, Kaixin Zhou, Calculadora de probabilidade MODY é adequada para triagem MODY na China: um estudo de base populacional, Journal of the Endocrine Society , Volume 8, Edição 5, maio de 2024, bvae047, </w:t>
      </w:r>
      <w:hyperlink r:id="rId41">
        <w:r w:rsidR="008238E6">
          <w:rPr>
            <w:color w:val="1155CC"/>
            <w:u w:val="single"/>
          </w:rPr>
          <w:t>https://doi.org/10.1210/jendso/bvae047</w:t>
        </w:r>
      </w:hyperlink>
    </w:p>
    <w:p w14:paraId="4FB5F0AA" w14:textId="77777777" w:rsidR="008238E6" w:rsidRDefault="00D61AB3">
      <w:pPr>
        <w:numPr>
          <w:ilvl w:val="0"/>
          <w:numId w:val="5"/>
        </w:numPr>
        <w:pBdr>
          <w:top w:val="nil"/>
          <w:left w:val="nil"/>
          <w:bottom w:val="nil"/>
          <w:right w:val="nil"/>
          <w:between w:val="nil"/>
        </w:pBdr>
        <w:spacing w:before="0" w:after="0"/>
        <w:ind w:left="714" w:hanging="357"/>
      </w:pPr>
      <w:r>
        <w:t xml:space="preserve">Shields BM, Hicks S, Shepherd MH, Colclough K, Hattersley AT, Ellard S. Diabetes de início na maturidade do jovem (MODY): quantos casos estamos ignorando? Diabetologia. 2010; 53 :2504–2508. doi: 10.1007/s00125-010-1799-4. </w:t>
      </w:r>
    </w:p>
    <w:p w14:paraId="4FB5F0AB" w14:textId="77777777" w:rsidR="008238E6" w:rsidRDefault="00D61AB3">
      <w:pPr>
        <w:numPr>
          <w:ilvl w:val="0"/>
          <w:numId w:val="5"/>
        </w:numPr>
        <w:pBdr>
          <w:top w:val="nil"/>
          <w:left w:val="nil"/>
          <w:bottom w:val="nil"/>
          <w:right w:val="nil"/>
          <w:between w:val="nil"/>
        </w:pBdr>
        <w:spacing w:before="0" w:after="0"/>
        <w:ind w:left="714" w:hanging="357"/>
      </w:pPr>
      <w:r>
        <w:t>Owen KR, Thanabalasingham G, James TJ, et al. Avaliação dos níveis de proteína C-reativa de alta sensibilidade como discriminador diagnóstico de diabetes de início na maturidade em jovens devido a mutações HNF1A. Diabetes Care. 2010; 33 :1919–1924. doi: 10.2337/dc10-0288.</w:t>
      </w:r>
    </w:p>
    <w:p w14:paraId="4FB5F0AC" w14:textId="77777777" w:rsidR="008238E6" w:rsidRDefault="00D61AB3">
      <w:pPr>
        <w:numPr>
          <w:ilvl w:val="0"/>
          <w:numId w:val="5"/>
        </w:numPr>
        <w:pBdr>
          <w:top w:val="nil"/>
          <w:left w:val="nil"/>
          <w:bottom w:val="nil"/>
          <w:right w:val="nil"/>
          <w:between w:val="nil"/>
        </w:pBdr>
        <w:spacing w:before="0" w:after="0"/>
        <w:ind w:left="714" w:hanging="357"/>
      </w:pPr>
      <w:r>
        <w:t>Shields BM, McDonald TJ, Ellard S, Campbell MJ, Hyde C, Hattersley AT. The development and validation of a clinical prediction model to determine the probability of MODY in patients with young-onset diabetes. Diabetologia. 2012 May;55(5):1265-72. doi: 10.1007/s00125-011-2418-8. Epub 2012 Jan 5. PMID: 22218698; PMCID: PMC3328676.</w:t>
      </w:r>
    </w:p>
    <w:p w14:paraId="4FB5F0AD" w14:textId="77777777" w:rsidR="008238E6" w:rsidRDefault="00D61AB3">
      <w:pPr>
        <w:numPr>
          <w:ilvl w:val="0"/>
          <w:numId w:val="5"/>
        </w:numPr>
        <w:pBdr>
          <w:top w:val="nil"/>
          <w:left w:val="nil"/>
          <w:bottom w:val="nil"/>
          <w:right w:val="nil"/>
          <w:between w:val="nil"/>
        </w:pBdr>
        <w:spacing w:before="0" w:after="0"/>
        <w:ind w:left="714" w:hanging="357"/>
      </w:pPr>
      <w:r>
        <w:t xml:space="preserve">Berberich, A., Huot, C., Cao, H., McIntyre, A., Robinson, J., Wang, J., &amp; Hegele, R. (2019). Copy Number Variation in GCK in Patients With Maturity-Onset Diabetes of the Young.. The Journal of clinical endocrinology and metabolism, 104 8, 3428-3436 . </w:t>
      </w:r>
      <w:hyperlink r:id="rId42">
        <w:r w:rsidR="008238E6">
          <w:rPr>
            <w:color w:val="1155CC"/>
            <w:u w:val="single"/>
          </w:rPr>
          <w:t>https://doi.org/10.1210/jc.2018-02574</w:t>
        </w:r>
      </w:hyperlink>
      <w:r>
        <w:t>.</w:t>
      </w:r>
    </w:p>
    <w:p w14:paraId="4FB5F0AE" w14:textId="77777777" w:rsidR="008238E6" w:rsidRDefault="00D61AB3">
      <w:pPr>
        <w:numPr>
          <w:ilvl w:val="0"/>
          <w:numId w:val="5"/>
        </w:numPr>
        <w:pBdr>
          <w:top w:val="nil"/>
          <w:left w:val="nil"/>
          <w:bottom w:val="nil"/>
          <w:right w:val="nil"/>
          <w:between w:val="nil"/>
        </w:pBdr>
        <w:spacing w:before="0" w:after="0"/>
        <w:ind w:left="714" w:hanging="357"/>
      </w:pPr>
      <w:r>
        <w:t xml:space="preserve">Szopa, M., Ludwig-Gałęzowska, A., Radkowski, P., Skupień, J., Zapała, B., Płatek, T., Klupa, T., Kieć-Wilk, B., Borowiec, M., Młynarski, W., Wołkow, P., &amp; Małecki, M. (2015). Genetic testing for monogenic diabetes using targeted next-generation sequencing in patients with maturity-onset diabetes of the young.. Polskie Archiwum Medycyny Wewnetrznej, 125 11, 845-51 . </w:t>
      </w:r>
      <w:hyperlink r:id="rId43">
        <w:r w:rsidR="008238E6">
          <w:rPr>
            <w:color w:val="1155CC"/>
            <w:u w:val="single"/>
          </w:rPr>
          <w:t>https://doi.org/10.20452/PAMW.3164</w:t>
        </w:r>
      </w:hyperlink>
      <w:r>
        <w:t>.</w:t>
      </w:r>
    </w:p>
    <w:p w14:paraId="4FB5F0AF" w14:textId="77777777" w:rsidR="008238E6" w:rsidRDefault="00D61AB3">
      <w:pPr>
        <w:numPr>
          <w:ilvl w:val="0"/>
          <w:numId w:val="5"/>
        </w:numPr>
        <w:pBdr>
          <w:top w:val="nil"/>
          <w:left w:val="nil"/>
          <w:bottom w:val="nil"/>
          <w:right w:val="nil"/>
          <w:between w:val="nil"/>
        </w:pBdr>
        <w:spacing w:before="0" w:after="0"/>
        <w:ind w:left="714" w:hanging="357"/>
      </w:pPr>
      <w:r>
        <w:t>Maltoni, G., Franceschi, R., Natale, V., Al-Qaisi, R., Greco, V., Bertorelli, R., Sanctis, V., Quattrone, A., Mantovani, V., Cauvin, V., &amp; Zucchini, S. (2022). Next Generation Sequencing Analysis of MODY-X Patients: A Case Report Series. Journal of Personalized Medicine, 12. https://doi.org/10.3390/jpm12101613.</w:t>
      </w:r>
    </w:p>
    <w:p w14:paraId="4FB5F0B0" w14:textId="77777777" w:rsidR="008238E6" w:rsidRDefault="00D61AB3">
      <w:pPr>
        <w:pStyle w:val="Heading1"/>
        <w:sectPr w:rsidR="008238E6">
          <w:headerReference w:type="default" r:id="rId44"/>
          <w:footerReference w:type="default" r:id="rId45"/>
          <w:pgSz w:w="11906" w:h="16838"/>
          <w:pgMar w:top="2115" w:right="1418" w:bottom="1134" w:left="1418" w:header="709" w:footer="709" w:gutter="0"/>
          <w:pgNumType w:start="5"/>
          <w:cols w:space="720"/>
        </w:sectPr>
      </w:pPr>
      <w:r>
        <w:br w:type="page"/>
      </w:r>
    </w:p>
    <w:p w14:paraId="4FB5F0B1" w14:textId="77777777" w:rsidR="008238E6" w:rsidRDefault="00D61AB3">
      <w:pPr>
        <w:pStyle w:val="Heading1"/>
      </w:pPr>
      <w:bookmarkStart w:id="92" w:name="_heading=h.1jlao46" w:colFirst="0" w:colLast="0"/>
      <w:bookmarkEnd w:id="92"/>
      <w:r>
        <w:t>10. ANEXOS</w:t>
      </w:r>
    </w:p>
    <w:p w14:paraId="4FB5F0B2" w14:textId="77777777" w:rsidR="008238E6" w:rsidRDefault="00D61AB3">
      <w:pPr>
        <w:spacing w:before="0" w:after="120"/>
        <w:jc w:val="center"/>
        <w:rPr>
          <w:b/>
        </w:rPr>
      </w:pPr>
      <w:r>
        <w:rPr>
          <w:b/>
        </w:rPr>
        <w:t xml:space="preserve">Anexo 1. </w:t>
      </w:r>
      <w:r>
        <w:t>Checklist de análise crítica: Avaliação econômica de tecnologias em saúde no processo de atualização do Rol da ANS.</w:t>
      </w:r>
    </w:p>
    <w:tbl>
      <w:tblPr>
        <w:tblStyle w:val="affffffffa"/>
        <w:tblW w:w="133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992"/>
        <w:gridCol w:w="5670"/>
        <w:gridCol w:w="993"/>
        <w:gridCol w:w="850"/>
        <w:gridCol w:w="851"/>
        <w:gridCol w:w="708"/>
        <w:gridCol w:w="851"/>
      </w:tblGrid>
      <w:tr w:rsidR="008238E6" w14:paraId="4FB5F0BB" w14:textId="77777777">
        <w:trPr>
          <w:trHeight w:val="855"/>
        </w:trPr>
        <w:tc>
          <w:tcPr>
            <w:tcW w:w="2479" w:type="dxa"/>
            <w:shd w:val="clear" w:color="auto" w:fill="B4C6E7"/>
            <w:vAlign w:val="center"/>
          </w:tcPr>
          <w:p w14:paraId="4FB5F0B3" w14:textId="77777777" w:rsidR="008238E6" w:rsidRDefault="00D61AB3">
            <w:pPr>
              <w:spacing w:before="120" w:after="120"/>
              <w:jc w:val="center"/>
              <w:rPr>
                <w:b/>
              </w:rPr>
            </w:pPr>
            <w:r>
              <w:rPr>
                <w:b/>
              </w:rPr>
              <w:t>Seção/Item</w:t>
            </w:r>
          </w:p>
        </w:tc>
        <w:tc>
          <w:tcPr>
            <w:tcW w:w="992" w:type="dxa"/>
            <w:shd w:val="clear" w:color="auto" w:fill="B4C6E7"/>
            <w:vAlign w:val="center"/>
          </w:tcPr>
          <w:p w14:paraId="4FB5F0B4" w14:textId="77777777" w:rsidR="008238E6" w:rsidRDefault="00D61AB3">
            <w:pPr>
              <w:spacing w:before="120" w:after="120"/>
              <w:jc w:val="center"/>
              <w:rPr>
                <w:b/>
              </w:rPr>
            </w:pPr>
            <w:r>
              <w:rPr>
                <w:b/>
              </w:rPr>
              <w:t>Item n°</w:t>
            </w:r>
          </w:p>
        </w:tc>
        <w:tc>
          <w:tcPr>
            <w:tcW w:w="5670" w:type="dxa"/>
            <w:shd w:val="clear" w:color="auto" w:fill="B4C6E7"/>
            <w:vAlign w:val="center"/>
          </w:tcPr>
          <w:p w14:paraId="4FB5F0B5" w14:textId="77777777" w:rsidR="008238E6" w:rsidRDefault="00D61AB3">
            <w:pPr>
              <w:spacing w:before="120" w:after="120"/>
              <w:jc w:val="center"/>
              <w:rPr>
                <w:b/>
              </w:rPr>
            </w:pPr>
            <w:r>
              <w:rPr>
                <w:b/>
              </w:rPr>
              <w:t>Conteúdo para verificação</w:t>
            </w:r>
          </w:p>
        </w:tc>
        <w:tc>
          <w:tcPr>
            <w:tcW w:w="993" w:type="dxa"/>
            <w:shd w:val="clear" w:color="auto" w:fill="B4C6E7"/>
            <w:vAlign w:val="center"/>
          </w:tcPr>
          <w:p w14:paraId="4FB5F0B6" w14:textId="77777777" w:rsidR="008238E6" w:rsidRDefault="00D61AB3">
            <w:pPr>
              <w:spacing w:before="120" w:after="120"/>
              <w:jc w:val="center"/>
              <w:rPr>
                <w:b/>
              </w:rPr>
            </w:pPr>
            <w:r>
              <w:rPr>
                <w:b/>
              </w:rPr>
              <w:t>Sim</w:t>
            </w:r>
          </w:p>
        </w:tc>
        <w:tc>
          <w:tcPr>
            <w:tcW w:w="850" w:type="dxa"/>
            <w:shd w:val="clear" w:color="auto" w:fill="B4C6E7"/>
            <w:vAlign w:val="center"/>
          </w:tcPr>
          <w:p w14:paraId="4FB5F0B7" w14:textId="77777777" w:rsidR="008238E6" w:rsidRDefault="00D61AB3">
            <w:pPr>
              <w:spacing w:before="120" w:after="120"/>
              <w:jc w:val="center"/>
              <w:rPr>
                <w:b/>
              </w:rPr>
            </w:pPr>
            <w:r>
              <w:rPr>
                <w:b/>
              </w:rPr>
              <w:t>Não</w:t>
            </w:r>
          </w:p>
        </w:tc>
        <w:tc>
          <w:tcPr>
            <w:tcW w:w="851" w:type="dxa"/>
            <w:shd w:val="clear" w:color="auto" w:fill="B4C6E7"/>
            <w:vAlign w:val="center"/>
          </w:tcPr>
          <w:p w14:paraId="4FB5F0B8" w14:textId="77777777" w:rsidR="008238E6" w:rsidRDefault="00D61AB3">
            <w:pPr>
              <w:spacing w:before="120" w:after="120"/>
              <w:jc w:val="center"/>
              <w:rPr>
                <w:b/>
              </w:rPr>
            </w:pPr>
            <w:r>
              <w:rPr>
                <w:b/>
              </w:rPr>
              <w:t>Parcial</w:t>
            </w:r>
          </w:p>
        </w:tc>
        <w:tc>
          <w:tcPr>
            <w:tcW w:w="708" w:type="dxa"/>
            <w:shd w:val="clear" w:color="auto" w:fill="B4C6E7"/>
            <w:vAlign w:val="center"/>
          </w:tcPr>
          <w:p w14:paraId="4FB5F0B9" w14:textId="77777777" w:rsidR="008238E6" w:rsidRDefault="00D61AB3">
            <w:pPr>
              <w:spacing w:before="120" w:after="120"/>
              <w:jc w:val="center"/>
              <w:rPr>
                <w:b/>
              </w:rPr>
            </w:pPr>
            <w:r>
              <w:rPr>
                <w:b/>
              </w:rPr>
              <w:t>NA</w:t>
            </w:r>
          </w:p>
        </w:tc>
        <w:tc>
          <w:tcPr>
            <w:tcW w:w="851" w:type="dxa"/>
            <w:shd w:val="clear" w:color="auto" w:fill="B4C6E7"/>
            <w:vAlign w:val="center"/>
          </w:tcPr>
          <w:p w14:paraId="4FB5F0BA" w14:textId="77777777" w:rsidR="008238E6" w:rsidRDefault="00D61AB3">
            <w:pPr>
              <w:spacing w:before="120" w:after="120"/>
              <w:jc w:val="center"/>
              <w:rPr>
                <w:b/>
              </w:rPr>
            </w:pPr>
            <w:r>
              <w:rPr>
                <w:b/>
              </w:rPr>
              <w:t>Pág.nº</w:t>
            </w:r>
          </w:p>
        </w:tc>
      </w:tr>
      <w:tr w:rsidR="008238E6" w14:paraId="4FB5F0BD" w14:textId="77777777">
        <w:trPr>
          <w:trHeight w:val="525"/>
        </w:trPr>
        <w:tc>
          <w:tcPr>
            <w:tcW w:w="13394" w:type="dxa"/>
            <w:gridSpan w:val="8"/>
            <w:shd w:val="clear" w:color="auto" w:fill="D9E1F2"/>
            <w:vAlign w:val="center"/>
          </w:tcPr>
          <w:p w14:paraId="4FB5F0BC" w14:textId="77777777" w:rsidR="008238E6" w:rsidRDefault="00D61AB3">
            <w:pPr>
              <w:spacing w:before="120" w:after="120"/>
              <w:jc w:val="left"/>
              <w:rPr>
                <w:b/>
              </w:rPr>
            </w:pPr>
            <w:r>
              <w:rPr>
                <w:b/>
              </w:rPr>
              <w:t>Definições</w:t>
            </w:r>
          </w:p>
        </w:tc>
      </w:tr>
      <w:tr w:rsidR="008238E6" w14:paraId="4FB5F0C6" w14:textId="77777777">
        <w:trPr>
          <w:trHeight w:val="762"/>
        </w:trPr>
        <w:tc>
          <w:tcPr>
            <w:tcW w:w="2479" w:type="dxa"/>
            <w:shd w:val="clear" w:color="auto" w:fill="auto"/>
            <w:vAlign w:val="center"/>
          </w:tcPr>
          <w:p w14:paraId="4FB5F0BE" w14:textId="77777777" w:rsidR="008238E6" w:rsidRDefault="00D61AB3">
            <w:pPr>
              <w:spacing w:before="120" w:after="120"/>
              <w:jc w:val="left"/>
              <w:rPr>
                <w:color w:val="000000"/>
              </w:rPr>
            </w:pPr>
            <w:r>
              <w:rPr>
                <w:color w:val="000000"/>
              </w:rPr>
              <w:t>Problema</w:t>
            </w:r>
          </w:p>
        </w:tc>
        <w:tc>
          <w:tcPr>
            <w:tcW w:w="992" w:type="dxa"/>
            <w:shd w:val="clear" w:color="auto" w:fill="auto"/>
            <w:vAlign w:val="center"/>
          </w:tcPr>
          <w:p w14:paraId="4FB5F0BF" w14:textId="77777777" w:rsidR="008238E6" w:rsidRDefault="00D61AB3">
            <w:pPr>
              <w:spacing w:before="120" w:after="120"/>
              <w:jc w:val="center"/>
              <w:rPr>
                <w:color w:val="000000"/>
              </w:rPr>
            </w:pPr>
            <w:r>
              <w:rPr>
                <w:color w:val="000000"/>
              </w:rPr>
              <w:t>1</w:t>
            </w:r>
          </w:p>
        </w:tc>
        <w:tc>
          <w:tcPr>
            <w:tcW w:w="5670" w:type="dxa"/>
            <w:shd w:val="clear" w:color="auto" w:fill="auto"/>
            <w:vAlign w:val="center"/>
          </w:tcPr>
          <w:p w14:paraId="4FB5F0C0" w14:textId="77777777" w:rsidR="008238E6" w:rsidRDefault="00D61AB3">
            <w:pPr>
              <w:spacing w:before="120" w:after="120"/>
              <w:jc w:val="left"/>
              <w:rPr>
                <w:color w:val="000000"/>
              </w:rPr>
            </w:pPr>
            <w:r>
              <w:rPr>
                <w:color w:val="000000"/>
              </w:rPr>
              <w:t>O problema de saúde para o qual se destina a intervenção avaliada é adequado e está descrito de forma clara.</w:t>
            </w:r>
          </w:p>
        </w:tc>
        <w:tc>
          <w:tcPr>
            <w:tcW w:w="993" w:type="dxa"/>
            <w:shd w:val="clear" w:color="auto" w:fill="auto"/>
            <w:vAlign w:val="center"/>
          </w:tcPr>
          <w:p w14:paraId="4FB5F0C1" w14:textId="77777777" w:rsidR="008238E6" w:rsidRDefault="00D61AB3">
            <w:pPr>
              <w:spacing w:before="120" w:after="120"/>
              <w:jc w:val="center"/>
              <w:rPr>
                <w:color w:val="000000"/>
              </w:rPr>
            </w:pPr>
            <w:r>
              <w:t>X</w:t>
            </w:r>
          </w:p>
        </w:tc>
        <w:tc>
          <w:tcPr>
            <w:tcW w:w="850" w:type="dxa"/>
            <w:shd w:val="clear" w:color="auto" w:fill="auto"/>
            <w:vAlign w:val="center"/>
          </w:tcPr>
          <w:p w14:paraId="4FB5F0C2" w14:textId="77777777" w:rsidR="008238E6" w:rsidRDefault="008238E6">
            <w:pPr>
              <w:spacing w:before="120" w:after="120"/>
              <w:jc w:val="center"/>
              <w:rPr>
                <w:color w:val="000000"/>
              </w:rPr>
            </w:pPr>
          </w:p>
        </w:tc>
        <w:tc>
          <w:tcPr>
            <w:tcW w:w="851" w:type="dxa"/>
            <w:shd w:val="clear" w:color="auto" w:fill="auto"/>
            <w:vAlign w:val="center"/>
          </w:tcPr>
          <w:p w14:paraId="4FB5F0C3" w14:textId="77777777" w:rsidR="008238E6" w:rsidRDefault="008238E6">
            <w:pPr>
              <w:spacing w:before="120" w:after="120"/>
              <w:jc w:val="center"/>
              <w:rPr>
                <w:color w:val="000000"/>
              </w:rPr>
            </w:pPr>
          </w:p>
        </w:tc>
        <w:tc>
          <w:tcPr>
            <w:tcW w:w="708" w:type="dxa"/>
            <w:shd w:val="clear" w:color="auto" w:fill="auto"/>
            <w:vAlign w:val="center"/>
          </w:tcPr>
          <w:p w14:paraId="4FB5F0C4" w14:textId="77777777" w:rsidR="008238E6" w:rsidRDefault="008238E6">
            <w:pPr>
              <w:spacing w:before="120" w:after="120"/>
              <w:jc w:val="center"/>
              <w:rPr>
                <w:color w:val="000000"/>
              </w:rPr>
            </w:pPr>
          </w:p>
        </w:tc>
        <w:tc>
          <w:tcPr>
            <w:tcW w:w="851" w:type="dxa"/>
            <w:shd w:val="clear" w:color="auto" w:fill="auto"/>
            <w:vAlign w:val="center"/>
          </w:tcPr>
          <w:p w14:paraId="4FB5F0C5" w14:textId="77777777" w:rsidR="008238E6" w:rsidRDefault="00D61AB3">
            <w:pPr>
              <w:spacing w:before="120" w:after="120"/>
              <w:jc w:val="center"/>
              <w:rPr>
                <w:color w:val="000000"/>
              </w:rPr>
            </w:pPr>
            <w:r>
              <w:t>7</w:t>
            </w:r>
          </w:p>
        </w:tc>
      </w:tr>
      <w:tr w:rsidR="008238E6" w14:paraId="4FB5F0CF" w14:textId="77777777">
        <w:trPr>
          <w:trHeight w:val="762"/>
        </w:trPr>
        <w:tc>
          <w:tcPr>
            <w:tcW w:w="2479" w:type="dxa"/>
            <w:shd w:val="clear" w:color="auto" w:fill="auto"/>
            <w:vAlign w:val="center"/>
          </w:tcPr>
          <w:p w14:paraId="4FB5F0C7" w14:textId="77777777" w:rsidR="008238E6" w:rsidRDefault="00D61AB3">
            <w:pPr>
              <w:spacing w:before="120" w:after="120"/>
              <w:jc w:val="left"/>
              <w:rPr>
                <w:color w:val="000000"/>
              </w:rPr>
            </w:pPr>
            <w:r>
              <w:rPr>
                <w:color w:val="000000"/>
              </w:rPr>
              <w:t xml:space="preserve">População </w:t>
            </w:r>
          </w:p>
        </w:tc>
        <w:tc>
          <w:tcPr>
            <w:tcW w:w="992" w:type="dxa"/>
            <w:shd w:val="clear" w:color="auto" w:fill="auto"/>
            <w:vAlign w:val="center"/>
          </w:tcPr>
          <w:p w14:paraId="4FB5F0C8" w14:textId="77777777" w:rsidR="008238E6" w:rsidRDefault="00D61AB3">
            <w:pPr>
              <w:spacing w:before="120" w:after="120"/>
              <w:jc w:val="center"/>
              <w:rPr>
                <w:color w:val="000000"/>
              </w:rPr>
            </w:pPr>
            <w:r>
              <w:rPr>
                <w:color w:val="000000"/>
              </w:rPr>
              <w:t>2</w:t>
            </w:r>
          </w:p>
        </w:tc>
        <w:tc>
          <w:tcPr>
            <w:tcW w:w="5670" w:type="dxa"/>
            <w:shd w:val="clear" w:color="auto" w:fill="auto"/>
            <w:vAlign w:val="center"/>
          </w:tcPr>
          <w:p w14:paraId="4FB5F0C9" w14:textId="77777777" w:rsidR="008238E6" w:rsidRDefault="00D61AB3">
            <w:pPr>
              <w:spacing w:before="120" w:after="120"/>
              <w:jc w:val="left"/>
              <w:rPr>
                <w:color w:val="000000"/>
              </w:rPr>
            </w:pPr>
            <w:r>
              <w:rPr>
                <w:color w:val="000000"/>
              </w:rPr>
              <w:t>A população elegível para a avaliação econômica está concordante com a população abordada nas evidências apresentadas no PTC/RS e no formulário da proposta.</w:t>
            </w:r>
          </w:p>
        </w:tc>
        <w:tc>
          <w:tcPr>
            <w:tcW w:w="993" w:type="dxa"/>
            <w:shd w:val="clear" w:color="auto" w:fill="auto"/>
            <w:vAlign w:val="center"/>
          </w:tcPr>
          <w:p w14:paraId="4FB5F0CA" w14:textId="77777777" w:rsidR="008238E6" w:rsidRDefault="00D61AB3">
            <w:pPr>
              <w:spacing w:before="120" w:after="120"/>
              <w:jc w:val="center"/>
              <w:rPr>
                <w:color w:val="000000"/>
              </w:rPr>
            </w:pPr>
            <w:r>
              <w:t>X</w:t>
            </w:r>
          </w:p>
        </w:tc>
        <w:tc>
          <w:tcPr>
            <w:tcW w:w="850" w:type="dxa"/>
            <w:shd w:val="clear" w:color="auto" w:fill="auto"/>
            <w:vAlign w:val="center"/>
          </w:tcPr>
          <w:p w14:paraId="4FB5F0CB" w14:textId="77777777" w:rsidR="008238E6" w:rsidRDefault="008238E6">
            <w:pPr>
              <w:spacing w:before="120" w:after="120"/>
              <w:jc w:val="center"/>
              <w:rPr>
                <w:color w:val="000000"/>
              </w:rPr>
            </w:pPr>
          </w:p>
        </w:tc>
        <w:tc>
          <w:tcPr>
            <w:tcW w:w="851" w:type="dxa"/>
            <w:shd w:val="clear" w:color="auto" w:fill="auto"/>
            <w:vAlign w:val="center"/>
          </w:tcPr>
          <w:p w14:paraId="4FB5F0CC" w14:textId="77777777" w:rsidR="008238E6" w:rsidRDefault="008238E6">
            <w:pPr>
              <w:spacing w:before="120" w:after="120"/>
              <w:jc w:val="center"/>
              <w:rPr>
                <w:color w:val="000000"/>
              </w:rPr>
            </w:pPr>
          </w:p>
        </w:tc>
        <w:tc>
          <w:tcPr>
            <w:tcW w:w="708" w:type="dxa"/>
            <w:shd w:val="clear" w:color="auto" w:fill="auto"/>
            <w:vAlign w:val="center"/>
          </w:tcPr>
          <w:p w14:paraId="4FB5F0CD" w14:textId="77777777" w:rsidR="008238E6" w:rsidRDefault="008238E6">
            <w:pPr>
              <w:spacing w:before="120" w:after="120"/>
              <w:jc w:val="center"/>
              <w:rPr>
                <w:color w:val="000000"/>
              </w:rPr>
            </w:pPr>
          </w:p>
        </w:tc>
        <w:tc>
          <w:tcPr>
            <w:tcW w:w="851" w:type="dxa"/>
            <w:shd w:val="clear" w:color="auto" w:fill="auto"/>
            <w:vAlign w:val="center"/>
          </w:tcPr>
          <w:p w14:paraId="4FB5F0CE" w14:textId="77777777" w:rsidR="008238E6" w:rsidRDefault="00D61AB3">
            <w:pPr>
              <w:spacing w:before="120" w:after="120"/>
              <w:jc w:val="center"/>
              <w:rPr>
                <w:color w:val="000000"/>
              </w:rPr>
            </w:pPr>
            <w:r>
              <w:t>9</w:t>
            </w:r>
          </w:p>
        </w:tc>
      </w:tr>
      <w:tr w:rsidR="008238E6" w14:paraId="4FB5F0D8" w14:textId="77777777">
        <w:trPr>
          <w:trHeight w:val="762"/>
        </w:trPr>
        <w:tc>
          <w:tcPr>
            <w:tcW w:w="2479" w:type="dxa"/>
            <w:shd w:val="clear" w:color="auto" w:fill="auto"/>
            <w:vAlign w:val="center"/>
          </w:tcPr>
          <w:p w14:paraId="4FB5F0D0" w14:textId="77777777" w:rsidR="008238E6" w:rsidRDefault="00D61AB3">
            <w:pPr>
              <w:spacing w:before="120" w:after="120"/>
              <w:jc w:val="left"/>
              <w:rPr>
                <w:color w:val="000000"/>
              </w:rPr>
            </w:pPr>
            <w:r>
              <w:rPr>
                <w:color w:val="000000"/>
              </w:rPr>
              <w:t>Tecnologia</w:t>
            </w:r>
          </w:p>
        </w:tc>
        <w:tc>
          <w:tcPr>
            <w:tcW w:w="992" w:type="dxa"/>
            <w:shd w:val="clear" w:color="auto" w:fill="auto"/>
            <w:vAlign w:val="center"/>
          </w:tcPr>
          <w:p w14:paraId="4FB5F0D1" w14:textId="77777777" w:rsidR="008238E6" w:rsidRDefault="00D61AB3">
            <w:pPr>
              <w:spacing w:before="120" w:after="120"/>
              <w:jc w:val="center"/>
              <w:rPr>
                <w:color w:val="000000"/>
              </w:rPr>
            </w:pPr>
            <w:r>
              <w:rPr>
                <w:color w:val="000000"/>
              </w:rPr>
              <w:t>3</w:t>
            </w:r>
          </w:p>
        </w:tc>
        <w:tc>
          <w:tcPr>
            <w:tcW w:w="5670" w:type="dxa"/>
            <w:shd w:val="clear" w:color="auto" w:fill="auto"/>
            <w:vAlign w:val="center"/>
          </w:tcPr>
          <w:p w14:paraId="4FB5F0D2" w14:textId="77777777" w:rsidR="008238E6" w:rsidRDefault="00D61AB3">
            <w:pPr>
              <w:spacing w:before="120" w:after="120"/>
              <w:jc w:val="left"/>
              <w:rPr>
                <w:color w:val="000000"/>
              </w:rPr>
            </w:pPr>
            <w:r>
              <w:rPr>
                <w:color w:val="000000"/>
              </w:rPr>
              <w:t>A tecnologia em saúde é apresentada de forma clara e adequada (doses, tempo de uso etc.).</w:t>
            </w:r>
          </w:p>
        </w:tc>
        <w:tc>
          <w:tcPr>
            <w:tcW w:w="993" w:type="dxa"/>
            <w:shd w:val="clear" w:color="auto" w:fill="auto"/>
            <w:vAlign w:val="center"/>
          </w:tcPr>
          <w:p w14:paraId="4FB5F0D3" w14:textId="77777777" w:rsidR="008238E6" w:rsidRDefault="008238E6">
            <w:pPr>
              <w:spacing w:before="120" w:after="120"/>
              <w:jc w:val="center"/>
              <w:rPr>
                <w:color w:val="000000"/>
              </w:rPr>
            </w:pPr>
          </w:p>
        </w:tc>
        <w:tc>
          <w:tcPr>
            <w:tcW w:w="850" w:type="dxa"/>
            <w:shd w:val="clear" w:color="auto" w:fill="auto"/>
            <w:vAlign w:val="center"/>
          </w:tcPr>
          <w:p w14:paraId="4FB5F0D4" w14:textId="77777777" w:rsidR="008238E6" w:rsidRDefault="008238E6">
            <w:pPr>
              <w:spacing w:before="120" w:after="120"/>
              <w:jc w:val="center"/>
              <w:rPr>
                <w:color w:val="000000"/>
              </w:rPr>
            </w:pPr>
          </w:p>
        </w:tc>
        <w:tc>
          <w:tcPr>
            <w:tcW w:w="851" w:type="dxa"/>
            <w:shd w:val="clear" w:color="auto" w:fill="auto"/>
            <w:vAlign w:val="center"/>
          </w:tcPr>
          <w:p w14:paraId="4FB5F0D5" w14:textId="77777777" w:rsidR="008238E6" w:rsidRDefault="00D61AB3">
            <w:pPr>
              <w:spacing w:before="120" w:after="120"/>
              <w:jc w:val="center"/>
              <w:rPr>
                <w:color w:val="000000"/>
              </w:rPr>
            </w:pPr>
            <w:r>
              <w:t>X</w:t>
            </w:r>
          </w:p>
        </w:tc>
        <w:tc>
          <w:tcPr>
            <w:tcW w:w="708" w:type="dxa"/>
            <w:shd w:val="clear" w:color="auto" w:fill="auto"/>
            <w:vAlign w:val="center"/>
          </w:tcPr>
          <w:p w14:paraId="4FB5F0D6" w14:textId="77777777" w:rsidR="008238E6" w:rsidRDefault="008238E6">
            <w:pPr>
              <w:spacing w:before="120" w:after="120"/>
              <w:jc w:val="center"/>
              <w:rPr>
                <w:color w:val="000000"/>
              </w:rPr>
            </w:pPr>
          </w:p>
        </w:tc>
        <w:tc>
          <w:tcPr>
            <w:tcW w:w="851" w:type="dxa"/>
            <w:shd w:val="clear" w:color="auto" w:fill="auto"/>
            <w:vAlign w:val="center"/>
          </w:tcPr>
          <w:p w14:paraId="4FB5F0D7" w14:textId="77777777" w:rsidR="008238E6" w:rsidRDefault="00D61AB3">
            <w:pPr>
              <w:spacing w:before="120" w:after="120"/>
              <w:jc w:val="center"/>
              <w:rPr>
                <w:color w:val="000000"/>
              </w:rPr>
            </w:pPr>
            <w:r>
              <w:t>9,10</w:t>
            </w:r>
          </w:p>
        </w:tc>
      </w:tr>
      <w:tr w:rsidR="008238E6" w14:paraId="4FB5F0E1" w14:textId="77777777">
        <w:trPr>
          <w:trHeight w:val="762"/>
        </w:trPr>
        <w:tc>
          <w:tcPr>
            <w:tcW w:w="2479" w:type="dxa"/>
            <w:shd w:val="clear" w:color="auto" w:fill="auto"/>
            <w:vAlign w:val="center"/>
          </w:tcPr>
          <w:p w14:paraId="4FB5F0D9" w14:textId="77777777" w:rsidR="008238E6" w:rsidRDefault="00D61AB3">
            <w:pPr>
              <w:spacing w:before="120" w:after="120"/>
              <w:jc w:val="left"/>
              <w:rPr>
                <w:color w:val="000000"/>
              </w:rPr>
            </w:pPr>
            <w:r>
              <w:rPr>
                <w:color w:val="000000"/>
              </w:rPr>
              <w:t>Comparadores</w:t>
            </w:r>
          </w:p>
        </w:tc>
        <w:tc>
          <w:tcPr>
            <w:tcW w:w="992" w:type="dxa"/>
            <w:shd w:val="clear" w:color="auto" w:fill="auto"/>
            <w:vAlign w:val="center"/>
          </w:tcPr>
          <w:p w14:paraId="4FB5F0DA" w14:textId="77777777" w:rsidR="008238E6" w:rsidRDefault="00D61AB3">
            <w:pPr>
              <w:spacing w:before="120" w:after="120"/>
              <w:jc w:val="center"/>
              <w:rPr>
                <w:color w:val="000000"/>
              </w:rPr>
            </w:pPr>
            <w:r>
              <w:rPr>
                <w:color w:val="000000"/>
              </w:rPr>
              <w:t>4</w:t>
            </w:r>
          </w:p>
        </w:tc>
        <w:tc>
          <w:tcPr>
            <w:tcW w:w="5670" w:type="dxa"/>
            <w:shd w:val="clear" w:color="auto" w:fill="auto"/>
            <w:vAlign w:val="center"/>
          </w:tcPr>
          <w:p w14:paraId="4FB5F0DB" w14:textId="77777777" w:rsidR="008238E6" w:rsidRDefault="00D61AB3">
            <w:pPr>
              <w:spacing w:before="120" w:after="120"/>
              <w:jc w:val="left"/>
              <w:rPr>
                <w:color w:val="000000"/>
              </w:rPr>
            </w:pPr>
            <w:r>
              <w:rPr>
                <w:color w:val="000000"/>
              </w:rPr>
              <w:t>Os comparadores apresentados são adequados e relevantes para a saúde suplementar e estão descritos e justificados de forma clara.</w:t>
            </w:r>
          </w:p>
        </w:tc>
        <w:tc>
          <w:tcPr>
            <w:tcW w:w="993" w:type="dxa"/>
            <w:shd w:val="clear" w:color="auto" w:fill="auto"/>
            <w:vAlign w:val="center"/>
          </w:tcPr>
          <w:p w14:paraId="4FB5F0DC" w14:textId="77777777" w:rsidR="008238E6" w:rsidRDefault="008238E6">
            <w:pPr>
              <w:spacing w:before="120" w:after="120"/>
              <w:jc w:val="center"/>
              <w:rPr>
                <w:color w:val="000000"/>
              </w:rPr>
            </w:pPr>
          </w:p>
        </w:tc>
        <w:tc>
          <w:tcPr>
            <w:tcW w:w="850" w:type="dxa"/>
            <w:shd w:val="clear" w:color="auto" w:fill="auto"/>
            <w:vAlign w:val="center"/>
          </w:tcPr>
          <w:p w14:paraId="4FB5F0DD" w14:textId="77777777" w:rsidR="008238E6" w:rsidRDefault="00D61AB3">
            <w:pPr>
              <w:spacing w:before="120" w:after="120"/>
              <w:jc w:val="center"/>
              <w:rPr>
                <w:color w:val="000000"/>
              </w:rPr>
            </w:pPr>
            <w:r>
              <w:t>X</w:t>
            </w:r>
          </w:p>
        </w:tc>
        <w:tc>
          <w:tcPr>
            <w:tcW w:w="851" w:type="dxa"/>
            <w:shd w:val="clear" w:color="auto" w:fill="auto"/>
            <w:vAlign w:val="center"/>
          </w:tcPr>
          <w:p w14:paraId="4FB5F0DE" w14:textId="77777777" w:rsidR="008238E6" w:rsidRDefault="008238E6">
            <w:pPr>
              <w:spacing w:before="120" w:after="120"/>
              <w:jc w:val="center"/>
              <w:rPr>
                <w:color w:val="000000"/>
              </w:rPr>
            </w:pPr>
          </w:p>
        </w:tc>
        <w:tc>
          <w:tcPr>
            <w:tcW w:w="708" w:type="dxa"/>
            <w:shd w:val="clear" w:color="auto" w:fill="auto"/>
            <w:vAlign w:val="center"/>
          </w:tcPr>
          <w:p w14:paraId="4FB5F0DF" w14:textId="77777777" w:rsidR="008238E6" w:rsidRDefault="008238E6">
            <w:pPr>
              <w:spacing w:before="120" w:after="120"/>
              <w:jc w:val="center"/>
              <w:rPr>
                <w:color w:val="000000"/>
              </w:rPr>
            </w:pPr>
          </w:p>
        </w:tc>
        <w:tc>
          <w:tcPr>
            <w:tcW w:w="851" w:type="dxa"/>
            <w:shd w:val="clear" w:color="auto" w:fill="auto"/>
            <w:vAlign w:val="center"/>
          </w:tcPr>
          <w:p w14:paraId="4FB5F0E0" w14:textId="77777777" w:rsidR="008238E6" w:rsidRDefault="00D61AB3">
            <w:pPr>
              <w:spacing w:before="120" w:after="120"/>
              <w:jc w:val="center"/>
              <w:rPr>
                <w:color w:val="000000"/>
              </w:rPr>
            </w:pPr>
            <w:r>
              <w:t>9,10</w:t>
            </w:r>
          </w:p>
        </w:tc>
      </w:tr>
      <w:tr w:rsidR="008238E6" w14:paraId="4FB5F0EA" w14:textId="77777777">
        <w:trPr>
          <w:trHeight w:val="762"/>
        </w:trPr>
        <w:tc>
          <w:tcPr>
            <w:tcW w:w="2479" w:type="dxa"/>
            <w:shd w:val="clear" w:color="auto" w:fill="auto"/>
            <w:vAlign w:val="center"/>
          </w:tcPr>
          <w:p w14:paraId="4FB5F0E2" w14:textId="77777777" w:rsidR="008238E6" w:rsidRDefault="00D61AB3">
            <w:pPr>
              <w:spacing w:before="120" w:after="120"/>
              <w:jc w:val="left"/>
              <w:rPr>
                <w:color w:val="000000"/>
              </w:rPr>
            </w:pPr>
            <w:r>
              <w:rPr>
                <w:color w:val="000000"/>
              </w:rPr>
              <w:t>Perspectiva da análise</w:t>
            </w:r>
          </w:p>
        </w:tc>
        <w:tc>
          <w:tcPr>
            <w:tcW w:w="992" w:type="dxa"/>
            <w:shd w:val="clear" w:color="auto" w:fill="auto"/>
            <w:vAlign w:val="center"/>
          </w:tcPr>
          <w:p w14:paraId="4FB5F0E3" w14:textId="77777777" w:rsidR="008238E6" w:rsidRDefault="00D61AB3">
            <w:pPr>
              <w:spacing w:before="120" w:after="120"/>
              <w:jc w:val="center"/>
              <w:rPr>
                <w:color w:val="000000"/>
              </w:rPr>
            </w:pPr>
            <w:r>
              <w:rPr>
                <w:color w:val="000000"/>
              </w:rPr>
              <w:t>5</w:t>
            </w:r>
          </w:p>
        </w:tc>
        <w:tc>
          <w:tcPr>
            <w:tcW w:w="5670" w:type="dxa"/>
            <w:shd w:val="clear" w:color="auto" w:fill="auto"/>
            <w:vAlign w:val="center"/>
          </w:tcPr>
          <w:p w14:paraId="4FB5F0E4" w14:textId="77777777" w:rsidR="008238E6" w:rsidRDefault="00D61AB3">
            <w:pPr>
              <w:spacing w:before="120" w:after="120"/>
              <w:jc w:val="left"/>
              <w:rPr>
                <w:color w:val="000000"/>
              </w:rPr>
            </w:pPr>
            <w:r>
              <w:rPr>
                <w:color w:val="000000"/>
              </w:rPr>
              <w:t>A perspectiva da saúde suplementar é adotada e apresentada de forma clara, contendo justificativa.</w:t>
            </w:r>
          </w:p>
        </w:tc>
        <w:tc>
          <w:tcPr>
            <w:tcW w:w="993" w:type="dxa"/>
            <w:shd w:val="clear" w:color="auto" w:fill="auto"/>
            <w:vAlign w:val="center"/>
          </w:tcPr>
          <w:p w14:paraId="4FB5F0E5" w14:textId="77777777" w:rsidR="008238E6" w:rsidRDefault="00D61AB3">
            <w:pPr>
              <w:spacing w:before="120" w:after="120"/>
              <w:jc w:val="center"/>
              <w:rPr>
                <w:color w:val="000000"/>
              </w:rPr>
            </w:pPr>
            <w:r>
              <w:t>X</w:t>
            </w:r>
          </w:p>
        </w:tc>
        <w:tc>
          <w:tcPr>
            <w:tcW w:w="850" w:type="dxa"/>
            <w:shd w:val="clear" w:color="auto" w:fill="auto"/>
            <w:vAlign w:val="center"/>
          </w:tcPr>
          <w:p w14:paraId="4FB5F0E6" w14:textId="77777777" w:rsidR="008238E6" w:rsidRDefault="008238E6">
            <w:pPr>
              <w:spacing w:before="120" w:after="120"/>
              <w:jc w:val="center"/>
              <w:rPr>
                <w:color w:val="000000"/>
              </w:rPr>
            </w:pPr>
          </w:p>
        </w:tc>
        <w:tc>
          <w:tcPr>
            <w:tcW w:w="851" w:type="dxa"/>
            <w:shd w:val="clear" w:color="auto" w:fill="auto"/>
            <w:vAlign w:val="center"/>
          </w:tcPr>
          <w:p w14:paraId="4FB5F0E7" w14:textId="77777777" w:rsidR="008238E6" w:rsidRDefault="008238E6">
            <w:pPr>
              <w:spacing w:before="120" w:after="120"/>
              <w:jc w:val="center"/>
              <w:rPr>
                <w:color w:val="000000"/>
              </w:rPr>
            </w:pPr>
          </w:p>
        </w:tc>
        <w:tc>
          <w:tcPr>
            <w:tcW w:w="708" w:type="dxa"/>
            <w:shd w:val="clear" w:color="auto" w:fill="auto"/>
            <w:vAlign w:val="center"/>
          </w:tcPr>
          <w:p w14:paraId="4FB5F0E8" w14:textId="77777777" w:rsidR="008238E6" w:rsidRDefault="008238E6">
            <w:pPr>
              <w:spacing w:before="120" w:after="120"/>
              <w:jc w:val="center"/>
              <w:rPr>
                <w:color w:val="000000"/>
              </w:rPr>
            </w:pPr>
          </w:p>
        </w:tc>
        <w:tc>
          <w:tcPr>
            <w:tcW w:w="851" w:type="dxa"/>
            <w:shd w:val="clear" w:color="auto" w:fill="auto"/>
            <w:vAlign w:val="center"/>
          </w:tcPr>
          <w:p w14:paraId="4FB5F0E9" w14:textId="77777777" w:rsidR="008238E6" w:rsidRDefault="00D61AB3">
            <w:pPr>
              <w:spacing w:before="120" w:after="120"/>
              <w:jc w:val="center"/>
              <w:rPr>
                <w:color w:val="000000"/>
              </w:rPr>
            </w:pPr>
            <w:r>
              <w:t>9,10</w:t>
            </w:r>
          </w:p>
        </w:tc>
      </w:tr>
      <w:tr w:rsidR="008238E6" w14:paraId="4FB5F0F3" w14:textId="77777777">
        <w:trPr>
          <w:trHeight w:val="762"/>
        </w:trPr>
        <w:tc>
          <w:tcPr>
            <w:tcW w:w="2479" w:type="dxa"/>
            <w:shd w:val="clear" w:color="auto" w:fill="auto"/>
            <w:vAlign w:val="center"/>
          </w:tcPr>
          <w:p w14:paraId="4FB5F0EB" w14:textId="77777777" w:rsidR="008238E6" w:rsidRDefault="00D61AB3">
            <w:pPr>
              <w:spacing w:before="120" w:after="120"/>
              <w:jc w:val="left"/>
              <w:rPr>
                <w:color w:val="000000"/>
              </w:rPr>
            </w:pPr>
            <w:r>
              <w:rPr>
                <w:color w:val="000000"/>
              </w:rPr>
              <w:t>Horizonte temporal</w:t>
            </w:r>
          </w:p>
        </w:tc>
        <w:tc>
          <w:tcPr>
            <w:tcW w:w="992" w:type="dxa"/>
            <w:shd w:val="clear" w:color="auto" w:fill="auto"/>
            <w:vAlign w:val="center"/>
          </w:tcPr>
          <w:p w14:paraId="4FB5F0EC" w14:textId="77777777" w:rsidR="008238E6" w:rsidRDefault="00D61AB3">
            <w:pPr>
              <w:spacing w:before="120" w:after="120"/>
              <w:jc w:val="center"/>
              <w:rPr>
                <w:color w:val="000000"/>
              </w:rPr>
            </w:pPr>
            <w:r>
              <w:rPr>
                <w:color w:val="000000"/>
              </w:rPr>
              <w:t>6</w:t>
            </w:r>
          </w:p>
        </w:tc>
        <w:tc>
          <w:tcPr>
            <w:tcW w:w="5670" w:type="dxa"/>
            <w:shd w:val="clear" w:color="auto" w:fill="auto"/>
            <w:vAlign w:val="center"/>
          </w:tcPr>
          <w:p w14:paraId="4FB5F0ED" w14:textId="77777777" w:rsidR="008238E6" w:rsidRDefault="00D61AB3">
            <w:pPr>
              <w:spacing w:before="120" w:after="120"/>
              <w:jc w:val="left"/>
              <w:rPr>
                <w:color w:val="000000"/>
              </w:rPr>
            </w:pPr>
            <w:r>
              <w:rPr>
                <w:color w:val="000000"/>
              </w:rPr>
              <w:t>O horizonte temporal para custos e desfechos é adequado e a justificativa para sua escolha é apresentada de forma clara.</w:t>
            </w:r>
          </w:p>
        </w:tc>
        <w:tc>
          <w:tcPr>
            <w:tcW w:w="993" w:type="dxa"/>
            <w:shd w:val="clear" w:color="auto" w:fill="auto"/>
            <w:vAlign w:val="center"/>
          </w:tcPr>
          <w:p w14:paraId="4FB5F0EE" w14:textId="77777777" w:rsidR="008238E6" w:rsidRDefault="00D61AB3">
            <w:pPr>
              <w:spacing w:before="120" w:after="120"/>
              <w:jc w:val="center"/>
              <w:rPr>
                <w:color w:val="000000"/>
              </w:rPr>
            </w:pPr>
            <w:r>
              <w:t>X</w:t>
            </w:r>
          </w:p>
        </w:tc>
        <w:tc>
          <w:tcPr>
            <w:tcW w:w="850" w:type="dxa"/>
            <w:shd w:val="clear" w:color="auto" w:fill="auto"/>
            <w:vAlign w:val="center"/>
          </w:tcPr>
          <w:p w14:paraId="4FB5F0EF" w14:textId="77777777" w:rsidR="008238E6" w:rsidRDefault="008238E6">
            <w:pPr>
              <w:spacing w:before="120" w:after="120"/>
              <w:jc w:val="center"/>
              <w:rPr>
                <w:color w:val="000000"/>
              </w:rPr>
            </w:pPr>
          </w:p>
        </w:tc>
        <w:tc>
          <w:tcPr>
            <w:tcW w:w="851" w:type="dxa"/>
            <w:shd w:val="clear" w:color="auto" w:fill="auto"/>
            <w:vAlign w:val="center"/>
          </w:tcPr>
          <w:p w14:paraId="4FB5F0F0" w14:textId="77777777" w:rsidR="008238E6" w:rsidRDefault="008238E6">
            <w:pPr>
              <w:spacing w:before="120" w:after="120"/>
              <w:jc w:val="center"/>
              <w:rPr>
                <w:color w:val="000000"/>
              </w:rPr>
            </w:pPr>
          </w:p>
        </w:tc>
        <w:tc>
          <w:tcPr>
            <w:tcW w:w="708" w:type="dxa"/>
            <w:shd w:val="clear" w:color="auto" w:fill="auto"/>
            <w:vAlign w:val="center"/>
          </w:tcPr>
          <w:p w14:paraId="4FB5F0F1" w14:textId="77777777" w:rsidR="008238E6" w:rsidRDefault="008238E6">
            <w:pPr>
              <w:spacing w:before="120" w:after="120"/>
              <w:jc w:val="center"/>
              <w:rPr>
                <w:color w:val="000000"/>
              </w:rPr>
            </w:pPr>
          </w:p>
        </w:tc>
        <w:tc>
          <w:tcPr>
            <w:tcW w:w="851" w:type="dxa"/>
            <w:shd w:val="clear" w:color="auto" w:fill="auto"/>
            <w:vAlign w:val="center"/>
          </w:tcPr>
          <w:p w14:paraId="4FB5F0F2" w14:textId="77777777" w:rsidR="008238E6" w:rsidRDefault="00D61AB3">
            <w:pPr>
              <w:spacing w:before="120" w:after="120"/>
              <w:jc w:val="center"/>
              <w:rPr>
                <w:color w:val="000000"/>
              </w:rPr>
            </w:pPr>
            <w:r>
              <w:t>9,10</w:t>
            </w:r>
          </w:p>
        </w:tc>
      </w:tr>
      <w:tr w:rsidR="008238E6" w14:paraId="4FB5F0FC" w14:textId="77777777">
        <w:trPr>
          <w:trHeight w:val="762"/>
        </w:trPr>
        <w:tc>
          <w:tcPr>
            <w:tcW w:w="2479" w:type="dxa"/>
            <w:shd w:val="clear" w:color="auto" w:fill="auto"/>
            <w:vAlign w:val="center"/>
          </w:tcPr>
          <w:p w14:paraId="4FB5F0F4" w14:textId="77777777" w:rsidR="008238E6" w:rsidRDefault="00D61AB3">
            <w:pPr>
              <w:spacing w:before="120" w:after="120"/>
              <w:jc w:val="left"/>
              <w:rPr>
                <w:color w:val="000000"/>
              </w:rPr>
            </w:pPr>
            <w:r>
              <w:rPr>
                <w:color w:val="000000"/>
              </w:rPr>
              <w:t>Taxa de desconto</w:t>
            </w:r>
          </w:p>
        </w:tc>
        <w:tc>
          <w:tcPr>
            <w:tcW w:w="992" w:type="dxa"/>
            <w:shd w:val="clear" w:color="auto" w:fill="auto"/>
            <w:vAlign w:val="center"/>
          </w:tcPr>
          <w:p w14:paraId="4FB5F0F5" w14:textId="77777777" w:rsidR="008238E6" w:rsidRDefault="00D61AB3">
            <w:pPr>
              <w:spacing w:before="120" w:after="120"/>
              <w:jc w:val="center"/>
              <w:rPr>
                <w:color w:val="000000"/>
              </w:rPr>
            </w:pPr>
            <w:r>
              <w:rPr>
                <w:color w:val="000000"/>
              </w:rPr>
              <w:t>7</w:t>
            </w:r>
          </w:p>
        </w:tc>
        <w:tc>
          <w:tcPr>
            <w:tcW w:w="5670" w:type="dxa"/>
            <w:shd w:val="clear" w:color="auto" w:fill="auto"/>
            <w:vAlign w:val="center"/>
          </w:tcPr>
          <w:p w14:paraId="4FB5F0F6" w14:textId="77777777" w:rsidR="008238E6" w:rsidRDefault="00D61AB3">
            <w:pPr>
              <w:spacing w:before="120" w:after="120"/>
              <w:jc w:val="left"/>
              <w:rPr>
                <w:color w:val="000000"/>
              </w:rPr>
            </w:pPr>
            <w:r>
              <w:rPr>
                <w:color w:val="000000"/>
              </w:rPr>
              <w:t>A taxa de desconto é adequada (5%) e é adotada para custos e desfechos.</w:t>
            </w:r>
          </w:p>
        </w:tc>
        <w:tc>
          <w:tcPr>
            <w:tcW w:w="993" w:type="dxa"/>
            <w:shd w:val="clear" w:color="auto" w:fill="auto"/>
            <w:vAlign w:val="center"/>
          </w:tcPr>
          <w:p w14:paraId="4FB5F0F7" w14:textId="77777777" w:rsidR="008238E6" w:rsidRDefault="00D61AB3">
            <w:pPr>
              <w:spacing w:before="120" w:after="120"/>
              <w:jc w:val="center"/>
              <w:rPr>
                <w:color w:val="000000"/>
              </w:rPr>
            </w:pPr>
            <w:r>
              <w:t>X</w:t>
            </w:r>
          </w:p>
        </w:tc>
        <w:tc>
          <w:tcPr>
            <w:tcW w:w="850" w:type="dxa"/>
            <w:shd w:val="clear" w:color="auto" w:fill="auto"/>
            <w:vAlign w:val="center"/>
          </w:tcPr>
          <w:p w14:paraId="4FB5F0F8" w14:textId="77777777" w:rsidR="008238E6" w:rsidRDefault="008238E6">
            <w:pPr>
              <w:spacing w:before="120" w:after="120"/>
              <w:jc w:val="center"/>
              <w:rPr>
                <w:color w:val="000000"/>
              </w:rPr>
            </w:pPr>
          </w:p>
        </w:tc>
        <w:tc>
          <w:tcPr>
            <w:tcW w:w="851" w:type="dxa"/>
            <w:shd w:val="clear" w:color="auto" w:fill="auto"/>
            <w:vAlign w:val="center"/>
          </w:tcPr>
          <w:p w14:paraId="4FB5F0F9" w14:textId="77777777" w:rsidR="008238E6" w:rsidRDefault="008238E6">
            <w:pPr>
              <w:spacing w:before="120" w:after="120"/>
              <w:jc w:val="center"/>
              <w:rPr>
                <w:color w:val="000000"/>
              </w:rPr>
            </w:pPr>
          </w:p>
        </w:tc>
        <w:tc>
          <w:tcPr>
            <w:tcW w:w="708" w:type="dxa"/>
            <w:shd w:val="clear" w:color="auto" w:fill="auto"/>
            <w:vAlign w:val="center"/>
          </w:tcPr>
          <w:p w14:paraId="4FB5F0FA" w14:textId="77777777" w:rsidR="008238E6" w:rsidRDefault="008238E6">
            <w:pPr>
              <w:spacing w:before="120" w:after="120"/>
              <w:jc w:val="center"/>
              <w:rPr>
                <w:color w:val="000000"/>
              </w:rPr>
            </w:pPr>
          </w:p>
        </w:tc>
        <w:tc>
          <w:tcPr>
            <w:tcW w:w="851" w:type="dxa"/>
            <w:shd w:val="clear" w:color="auto" w:fill="auto"/>
            <w:vAlign w:val="center"/>
          </w:tcPr>
          <w:p w14:paraId="4FB5F0FB" w14:textId="77777777" w:rsidR="008238E6" w:rsidRDefault="00D61AB3">
            <w:pPr>
              <w:spacing w:before="120" w:after="120"/>
              <w:jc w:val="center"/>
              <w:rPr>
                <w:color w:val="000000"/>
              </w:rPr>
            </w:pPr>
            <w:r>
              <w:t>9,10</w:t>
            </w:r>
          </w:p>
        </w:tc>
      </w:tr>
    </w:tbl>
    <w:p w14:paraId="4FB5F0FD" w14:textId="77777777" w:rsidR="008238E6" w:rsidRDefault="008238E6">
      <w:pPr>
        <w:spacing w:before="0" w:after="160" w:line="259" w:lineRule="auto"/>
        <w:jc w:val="left"/>
      </w:pPr>
    </w:p>
    <w:tbl>
      <w:tblPr>
        <w:tblStyle w:val="affffffffb"/>
        <w:tblW w:w="133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992"/>
        <w:gridCol w:w="5670"/>
        <w:gridCol w:w="993"/>
        <w:gridCol w:w="850"/>
        <w:gridCol w:w="851"/>
        <w:gridCol w:w="708"/>
        <w:gridCol w:w="851"/>
      </w:tblGrid>
      <w:tr w:rsidR="008238E6" w14:paraId="4FB5F106" w14:textId="77777777">
        <w:trPr>
          <w:trHeight w:val="855"/>
        </w:trPr>
        <w:tc>
          <w:tcPr>
            <w:tcW w:w="2479" w:type="dxa"/>
            <w:shd w:val="clear" w:color="auto" w:fill="B4C6E7"/>
            <w:vAlign w:val="center"/>
          </w:tcPr>
          <w:p w14:paraId="4FB5F0FE" w14:textId="77777777" w:rsidR="008238E6" w:rsidRDefault="00D61AB3">
            <w:pPr>
              <w:spacing w:before="120" w:after="120"/>
              <w:jc w:val="center"/>
              <w:rPr>
                <w:b/>
              </w:rPr>
            </w:pPr>
            <w:r>
              <w:rPr>
                <w:b/>
              </w:rPr>
              <w:t>Seção/Item</w:t>
            </w:r>
          </w:p>
        </w:tc>
        <w:tc>
          <w:tcPr>
            <w:tcW w:w="992" w:type="dxa"/>
            <w:shd w:val="clear" w:color="auto" w:fill="B4C6E7"/>
            <w:vAlign w:val="center"/>
          </w:tcPr>
          <w:p w14:paraId="4FB5F0FF" w14:textId="77777777" w:rsidR="008238E6" w:rsidRDefault="00D61AB3">
            <w:pPr>
              <w:spacing w:before="120" w:after="120"/>
              <w:jc w:val="center"/>
              <w:rPr>
                <w:b/>
              </w:rPr>
            </w:pPr>
            <w:r>
              <w:rPr>
                <w:b/>
              </w:rPr>
              <w:t>Item n°</w:t>
            </w:r>
          </w:p>
        </w:tc>
        <w:tc>
          <w:tcPr>
            <w:tcW w:w="5670" w:type="dxa"/>
            <w:shd w:val="clear" w:color="auto" w:fill="B4C6E7"/>
            <w:vAlign w:val="center"/>
          </w:tcPr>
          <w:p w14:paraId="4FB5F100" w14:textId="77777777" w:rsidR="008238E6" w:rsidRDefault="00D61AB3">
            <w:pPr>
              <w:spacing w:before="120" w:after="120"/>
              <w:jc w:val="center"/>
              <w:rPr>
                <w:b/>
              </w:rPr>
            </w:pPr>
            <w:r>
              <w:rPr>
                <w:b/>
              </w:rPr>
              <w:t>Conteúdo para verificação</w:t>
            </w:r>
          </w:p>
        </w:tc>
        <w:tc>
          <w:tcPr>
            <w:tcW w:w="993" w:type="dxa"/>
            <w:shd w:val="clear" w:color="auto" w:fill="B4C6E7"/>
            <w:vAlign w:val="center"/>
          </w:tcPr>
          <w:p w14:paraId="4FB5F101" w14:textId="77777777" w:rsidR="008238E6" w:rsidRDefault="00D61AB3">
            <w:pPr>
              <w:spacing w:before="120" w:after="120"/>
              <w:jc w:val="center"/>
              <w:rPr>
                <w:b/>
              </w:rPr>
            </w:pPr>
            <w:r>
              <w:rPr>
                <w:b/>
              </w:rPr>
              <w:t>Sim</w:t>
            </w:r>
          </w:p>
        </w:tc>
        <w:tc>
          <w:tcPr>
            <w:tcW w:w="850" w:type="dxa"/>
            <w:shd w:val="clear" w:color="auto" w:fill="B4C6E7"/>
            <w:vAlign w:val="center"/>
          </w:tcPr>
          <w:p w14:paraId="4FB5F102" w14:textId="77777777" w:rsidR="008238E6" w:rsidRDefault="00D61AB3">
            <w:pPr>
              <w:spacing w:before="120" w:after="120"/>
              <w:jc w:val="center"/>
              <w:rPr>
                <w:b/>
              </w:rPr>
            </w:pPr>
            <w:r>
              <w:rPr>
                <w:b/>
              </w:rPr>
              <w:t>Não</w:t>
            </w:r>
          </w:p>
        </w:tc>
        <w:tc>
          <w:tcPr>
            <w:tcW w:w="851" w:type="dxa"/>
            <w:shd w:val="clear" w:color="auto" w:fill="B4C6E7"/>
            <w:vAlign w:val="center"/>
          </w:tcPr>
          <w:p w14:paraId="4FB5F103" w14:textId="77777777" w:rsidR="008238E6" w:rsidRDefault="00D61AB3">
            <w:pPr>
              <w:spacing w:before="120" w:after="120"/>
              <w:jc w:val="center"/>
              <w:rPr>
                <w:b/>
              </w:rPr>
            </w:pPr>
            <w:r>
              <w:rPr>
                <w:b/>
              </w:rPr>
              <w:t>Parcial</w:t>
            </w:r>
          </w:p>
        </w:tc>
        <w:tc>
          <w:tcPr>
            <w:tcW w:w="708" w:type="dxa"/>
            <w:shd w:val="clear" w:color="auto" w:fill="B4C6E7"/>
            <w:vAlign w:val="center"/>
          </w:tcPr>
          <w:p w14:paraId="4FB5F104" w14:textId="77777777" w:rsidR="008238E6" w:rsidRDefault="00D61AB3">
            <w:pPr>
              <w:spacing w:before="120" w:after="120"/>
              <w:jc w:val="center"/>
              <w:rPr>
                <w:b/>
              </w:rPr>
            </w:pPr>
            <w:r>
              <w:rPr>
                <w:b/>
              </w:rPr>
              <w:t>NA</w:t>
            </w:r>
          </w:p>
        </w:tc>
        <w:tc>
          <w:tcPr>
            <w:tcW w:w="851" w:type="dxa"/>
            <w:shd w:val="clear" w:color="auto" w:fill="B4C6E7"/>
            <w:vAlign w:val="center"/>
          </w:tcPr>
          <w:p w14:paraId="4FB5F105" w14:textId="77777777" w:rsidR="008238E6" w:rsidRDefault="00D61AB3">
            <w:pPr>
              <w:spacing w:before="120" w:after="120"/>
              <w:jc w:val="center"/>
              <w:rPr>
                <w:b/>
              </w:rPr>
            </w:pPr>
            <w:r>
              <w:rPr>
                <w:b/>
              </w:rPr>
              <w:t>Pág.nº</w:t>
            </w:r>
          </w:p>
        </w:tc>
      </w:tr>
      <w:tr w:rsidR="008238E6" w14:paraId="4FB5F108" w14:textId="77777777">
        <w:trPr>
          <w:trHeight w:val="525"/>
        </w:trPr>
        <w:tc>
          <w:tcPr>
            <w:tcW w:w="13394" w:type="dxa"/>
            <w:gridSpan w:val="8"/>
            <w:shd w:val="clear" w:color="auto" w:fill="D9E1F2"/>
            <w:vAlign w:val="center"/>
          </w:tcPr>
          <w:p w14:paraId="4FB5F107" w14:textId="77777777" w:rsidR="008238E6" w:rsidRDefault="00D61AB3">
            <w:pPr>
              <w:spacing w:before="120" w:after="120"/>
              <w:jc w:val="left"/>
              <w:rPr>
                <w:b/>
              </w:rPr>
            </w:pPr>
            <w:r>
              <w:rPr>
                <w:b/>
              </w:rPr>
              <w:t>Definições (cont.)</w:t>
            </w:r>
          </w:p>
        </w:tc>
      </w:tr>
      <w:tr w:rsidR="008238E6" w14:paraId="4FB5F111" w14:textId="77777777">
        <w:trPr>
          <w:trHeight w:val="762"/>
        </w:trPr>
        <w:tc>
          <w:tcPr>
            <w:tcW w:w="2479" w:type="dxa"/>
            <w:shd w:val="clear" w:color="auto" w:fill="auto"/>
            <w:vAlign w:val="center"/>
          </w:tcPr>
          <w:p w14:paraId="4FB5F109" w14:textId="77777777" w:rsidR="008238E6" w:rsidRDefault="00D61AB3">
            <w:pPr>
              <w:spacing w:before="120" w:after="120"/>
              <w:jc w:val="left"/>
              <w:rPr>
                <w:color w:val="000000"/>
              </w:rPr>
            </w:pPr>
            <w:r>
              <w:rPr>
                <w:color w:val="000000"/>
              </w:rPr>
              <w:t xml:space="preserve">Desfechos de saúde </w:t>
            </w:r>
          </w:p>
        </w:tc>
        <w:tc>
          <w:tcPr>
            <w:tcW w:w="992" w:type="dxa"/>
            <w:shd w:val="clear" w:color="auto" w:fill="auto"/>
            <w:vAlign w:val="center"/>
          </w:tcPr>
          <w:p w14:paraId="4FB5F10A" w14:textId="77777777" w:rsidR="008238E6" w:rsidRDefault="00D61AB3">
            <w:pPr>
              <w:spacing w:before="120" w:after="120"/>
              <w:jc w:val="center"/>
              <w:rPr>
                <w:color w:val="000000"/>
              </w:rPr>
            </w:pPr>
            <w:r>
              <w:rPr>
                <w:color w:val="000000"/>
              </w:rPr>
              <w:t>8</w:t>
            </w:r>
          </w:p>
        </w:tc>
        <w:tc>
          <w:tcPr>
            <w:tcW w:w="5670" w:type="dxa"/>
            <w:shd w:val="clear" w:color="auto" w:fill="auto"/>
            <w:vAlign w:val="center"/>
          </w:tcPr>
          <w:p w14:paraId="4FB5F10B" w14:textId="77777777" w:rsidR="008238E6" w:rsidRDefault="00D61AB3">
            <w:pPr>
              <w:spacing w:before="120" w:after="120"/>
              <w:jc w:val="left"/>
              <w:rPr>
                <w:color w:val="000000"/>
              </w:rPr>
            </w:pPr>
            <w:r>
              <w:rPr>
                <w:color w:val="000000"/>
              </w:rPr>
              <w:t>Os desfechos utilizados como medidas de benefício na avaliação são adequados e relevantes para o tipo de análise conduzida.</w:t>
            </w:r>
          </w:p>
        </w:tc>
        <w:tc>
          <w:tcPr>
            <w:tcW w:w="993" w:type="dxa"/>
            <w:shd w:val="clear" w:color="auto" w:fill="auto"/>
            <w:vAlign w:val="center"/>
          </w:tcPr>
          <w:p w14:paraId="4FB5F10C" w14:textId="77777777" w:rsidR="008238E6" w:rsidRDefault="00D61AB3">
            <w:pPr>
              <w:spacing w:before="120" w:after="120"/>
              <w:jc w:val="center"/>
              <w:rPr>
                <w:color w:val="000000"/>
              </w:rPr>
            </w:pPr>
            <w:r>
              <w:t>X</w:t>
            </w:r>
          </w:p>
        </w:tc>
        <w:tc>
          <w:tcPr>
            <w:tcW w:w="850" w:type="dxa"/>
            <w:shd w:val="clear" w:color="auto" w:fill="auto"/>
            <w:vAlign w:val="center"/>
          </w:tcPr>
          <w:p w14:paraId="4FB5F10D" w14:textId="77777777" w:rsidR="008238E6" w:rsidRDefault="008238E6">
            <w:pPr>
              <w:spacing w:before="120" w:after="120"/>
              <w:jc w:val="center"/>
              <w:rPr>
                <w:color w:val="000000"/>
              </w:rPr>
            </w:pPr>
          </w:p>
        </w:tc>
        <w:tc>
          <w:tcPr>
            <w:tcW w:w="851" w:type="dxa"/>
            <w:shd w:val="clear" w:color="auto" w:fill="auto"/>
            <w:vAlign w:val="center"/>
          </w:tcPr>
          <w:p w14:paraId="4FB5F10E" w14:textId="77777777" w:rsidR="008238E6" w:rsidRDefault="008238E6">
            <w:pPr>
              <w:spacing w:before="120" w:after="120"/>
              <w:jc w:val="center"/>
              <w:rPr>
                <w:color w:val="000000"/>
              </w:rPr>
            </w:pPr>
          </w:p>
        </w:tc>
        <w:tc>
          <w:tcPr>
            <w:tcW w:w="708" w:type="dxa"/>
            <w:shd w:val="clear" w:color="auto" w:fill="auto"/>
            <w:vAlign w:val="center"/>
          </w:tcPr>
          <w:p w14:paraId="4FB5F10F" w14:textId="77777777" w:rsidR="008238E6" w:rsidRDefault="008238E6">
            <w:pPr>
              <w:spacing w:before="120" w:after="120"/>
              <w:jc w:val="center"/>
              <w:rPr>
                <w:color w:val="000000"/>
              </w:rPr>
            </w:pPr>
          </w:p>
        </w:tc>
        <w:tc>
          <w:tcPr>
            <w:tcW w:w="851" w:type="dxa"/>
            <w:shd w:val="clear" w:color="auto" w:fill="auto"/>
            <w:vAlign w:val="center"/>
          </w:tcPr>
          <w:p w14:paraId="4FB5F110" w14:textId="77777777" w:rsidR="008238E6" w:rsidRDefault="00D61AB3">
            <w:pPr>
              <w:spacing w:before="120" w:after="120"/>
              <w:jc w:val="center"/>
              <w:rPr>
                <w:color w:val="000000"/>
              </w:rPr>
            </w:pPr>
            <w:r>
              <w:t>11,12</w:t>
            </w:r>
          </w:p>
        </w:tc>
      </w:tr>
      <w:tr w:rsidR="008238E6" w14:paraId="4FB5F11A" w14:textId="77777777">
        <w:trPr>
          <w:trHeight w:val="762"/>
        </w:trPr>
        <w:tc>
          <w:tcPr>
            <w:tcW w:w="2479" w:type="dxa"/>
            <w:shd w:val="clear" w:color="auto" w:fill="auto"/>
            <w:vAlign w:val="center"/>
          </w:tcPr>
          <w:p w14:paraId="4FB5F112" w14:textId="77777777" w:rsidR="008238E6" w:rsidRDefault="00D61AB3">
            <w:pPr>
              <w:spacing w:before="120" w:after="120"/>
              <w:jc w:val="left"/>
              <w:rPr>
                <w:color w:val="000000"/>
              </w:rPr>
            </w:pPr>
            <w:r>
              <w:rPr>
                <w:color w:val="000000"/>
              </w:rPr>
              <w:t>Medida de efeito</w:t>
            </w:r>
          </w:p>
        </w:tc>
        <w:tc>
          <w:tcPr>
            <w:tcW w:w="992" w:type="dxa"/>
            <w:shd w:val="clear" w:color="auto" w:fill="auto"/>
            <w:vAlign w:val="center"/>
          </w:tcPr>
          <w:p w14:paraId="4FB5F113" w14:textId="77777777" w:rsidR="008238E6" w:rsidRDefault="00D61AB3">
            <w:pPr>
              <w:spacing w:before="120" w:after="120"/>
              <w:jc w:val="center"/>
              <w:rPr>
                <w:color w:val="000000"/>
              </w:rPr>
            </w:pPr>
            <w:r>
              <w:rPr>
                <w:color w:val="000000"/>
              </w:rPr>
              <w:t>9</w:t>
            </w:r>
          </w:p>
        </w:tc>
        <w:tc>
          <w:tcPr>
            <w:tcW w:w="5670" w:type="dxa"/>
            <w:shd w:val="clear" w:color="auto" w:fill="auto"/>
            <w:vAlign w:val="center"/>
          </w:tcPr>
          <w:p w14:paraId="4FB5F114" w14:textId="77777777" w:rsidR="008238E6" w:rsidRDefault="00D61AB3">
            <w:pPr>
              <w:spacing w:before="120" w:after="120"/>
              <w:jc w:val="left"/>
              <w:rPr>
                <w:color w:val="000000"/>
              </w:rPr>
            </w:pPr>
            <w:r>
              <w:rPr>
                <w:color w:val="000000"/>
              </w:rPr>
              <w:t>A estimativa de efeito da intervenção e dos comparadores é descrita detalhadamente e é concordante com a apresentada no PTC/RS e no formulário da proposta.</w:t>
            </w:r>
          </w:p>
        </w:tc>
        <w:tc>
          <w:tcPr>
            <w:tcW w:w="993" w:type="dxa"/>
            <w:shd w:val="clear" w:color="auto" w:fill="auto"/>
            <w:vAlign w:val="center"/>
          </w:tcPr>
          <w:p w14:paraId="4FB5F115" w14:textId="77777777" w:rsidR="008238E6" w:rsidRDefault="00D61AB3">
            <w:pPr>
              <w:spacing w:before="120" w:after="120"/>
              <w:jc w:val="center"/>
              <w:rPr>
                <w:color w:val="000000"/>
              </w:rPr>
            </w:pPr>
            <w:r>
              <w:t>X</w:t>
            </w:r>
          </w:p>
        </w:tc>
        <w:tc>
          <w:tcPr>
            <w:tcW w:w="850" w:type="dxa"/>
            <w:shd w:val="clear" w:color="auto" w:fill="auto"/>
            <w:vAlign w:val="center"/>
          </w:tcPr>
          <w:p w14:paraId="4FB5F116" w14:textId="77777777" w:rsidR="008238E6" w:rsidRDefault="008238E6">
            <w:pPr>
              <w:spacing w:before="120" w:after="120"/>
              <w:jc w:val="center"/>
              <w:rPr>
                <w:color w:val="000000"/>
              </w:rPr>
            </w:pPr>
          </w:p>
        </w:tc>
        <w:tc>
          <w:tcPr>
            <w:tcW w:w="851" w:type="dxa"/>
            <w:shd w:val="clear" w:color="auto" w:fill="auto"/>
            <w:vAlign w:val="center"/>
          </w:tcPr>
          <w:p w14:paraId="4FB5F117" w14:textId="77777777" w:rsidR="008238E6" w:rsidRDefault="008238E6">
            <w:pPr>
              <w:spacing w:before="120" w:after="120"/>
              <w:jc w:val="center"/>
              <w:rPr>
                <w:color w:val="000000"/>
              </w:rPr>
            </w:pPr>
          </w:p>
        </w:tc>
        <w:tc>
          <w:tcPr>
            <w:tcW w:w="708" w:type="dxa"/>
            <w:shd w:val="clear" w:color="auto" w:fill="auto"/>
            <w:vAlign w:val="center"/>
          </w:tcPr>
          <w:p w14:paraId="4FB5F118" w14:textId="77777777" w:rsidR="008238E6" w:rsidRDefault="008238E6">
            <w:pPr>
              <w:spacing w:before="120" w:after="120"/>
              <w:jc w:val="center"/>
              <w:rPr>
                <w:color w:val="000000"/>
              </w:rPr>
            </w:pPr>
          </w:p>
        </w:tc>
        <w:tc>
          <w:tcPr>
            <w:tcW w:w="851" w:type="dxa"/>
            <w:shd w:val="clear" w:color="auto" w:fill="auto"/>
            <w:vAlign w:val="center"/>
          </w:tcPr>
          <w:p w14:paraId="4FB5F119" w14:textId="77777777" w:rsidR="008238E6" w:rsidRDefault="00D61AB3">
            <w:pPr>
              <w:spacing w:before="120" w:after="120"/>
              <w:jc w:val="center"/>
              <w:rPr>
                <w:color w:val="000000"/>
              </w:rPr>
            </w:pPr>
            <w:r>
              <w:t>11,12</w:t>
            </w:r>
          </w:p>
        </w:tc>
      </w:tr>
      <w:tr w:rsidR="008238E6" w14:paraId="4FB5F123" w14:textId="77777777">
        <w:trPr>
          <w:trHeight w:val="762"/>
        </w:trPr>
        <w:tc>
          <w:tcPr>
            <w:tcW w:w="2479" w:type="dxa"/>
            <w:shd w:val="clear" w:color="auto" w:fill="auto"/>
            <w:vAlign w:val="center"/>
          </w:tcPr>
          <w:p w14:paraId="4FB5F11B" w14:textId="77777777" w:rsidR="008238E6" w:rsidRDefault="00D61AB3">
            <w:pPr>
              <w:spacing w:before="120" w:after="120"/>
              <w:jc w:val="left"/>
              <w:rPr>
                <w:color w:val="000000"/>
              </w:rPr>
            </w:pPr>
            <w:r>
              <w:rPr>
                <w:color w:val="000000"/>
              </w:rPr>
              <w:t>Mensuração e valoração dos desfechos baseados em preferência (se aplicável)</w:t>
            </w:r>
          </w:p>
        </w:tc>
        <w:tc>
          <w:tcPr>
            <w:tcW w:w="992" w:type="dxa"/>
            <w:shd w:val="clear" w:color="auto" w:fill="auto"/>
            <w:vAlign w:val="center"/>
          </w:tcPr>
          <w:p w14:paraId="4FB5F11C" w14:textId="77777777" w:rsidR="008238E6" w:rsidRDefault="00D61AB3">
            <w:pPr>
              <w:spacing w:before="120" w:after="120"/>
              <w:jc w:val="center"/>
              <w:rPr>
                <w:color w:val="000000"/>
              </w:rPr>
            </w:pPr>
            <w:r>
              <w:rPr>
                <w:color w:val="000000"/>
              </w:rPr>
              <w:t>10</w:t>
            </w:r>
          </w:p>
        </w:tc>
        <w:tc>
          <w:tcPr>
            <w:tcW w:w="5670" w:type="dxa"/>
            <w:shd w:val="clear" w:color="auto" w:fill="auto"/>
            <w:vAlign w:val="center"/>
          </w:tcPr>
          <w:p w14:paraId="4FB5F11D" w14:textId="77777777" w:rsidR="008238E6" w:rsidRDefault="00D61AB3">
            <w:pPr>
              <w:spacing w:before="120" w:after="120"/>
              <w:jc w:val="left"/>
              <w:rPr>
                <w:color w:val="000000"/>
              </w:rPr>
            </w:pPr>
            <w:r>
              <w:rPr>
                <w:color w:val="000000"/>
              </w:rPr>
              <w:t>A mensuração e a valoração dos desfechos baseados em preferência são adequadas e foram apresentadas de forma clara.</w:t>
            </w:r>
          </w:p>
        </w:tc>
        <w:tc>
          <w:tcPr>
            <w:tcW w:w="993" w:type="dxa"/>
            <w:shd w:val="clear" w:color="auto" w:fill="auto"/>
            <w:vAlign w:val="center"/>
          </w:tcPr>
          <w:p w14:paraId="4FB5F11E" w14:textId="77777777" w:rsidR="008238E6" w:rsidRDefault="00D61AB3">
            <w:pPr>
              <w:spacing w:before="120" w:after="120"/>
              <w:jc w:val="center"/>
              <w:rPr>
                <w:color w:val="000000"/>
              </w:rPr>
            </w:pPr>
            <w:r>
              <w:t>X</w:t>
            </w:r>
          </w:p>
        </w:tc>
        <w:tc>
          <w:tcPr>
            <w:tcW w:w="850" w:type="dxa"/>
            <w:shd w:val="clear" w:color="auto" w:fill="auto"/>
            <w:vAlign w:val="center"/>
          </w:tcPr>
          <w:p w14:paraId="4FB5F11F" w14:textId="77777777" w:rsidR="008238E6" w:rsidRDefault="008238E6">
            <w:pPr>
              <w:spacing w:before="120" w:after="120"/>
              <w:jc w:val="center"/>
              <w:rPr>
                <w:color w:val="000000"/>
              </w:rPr>
            </w:pPr>
          </w:p>
        </w:tc>
        <w:tc>
          <w:tcPr>
            <w:tcW w:w="851" w:type="dxa"/>
            <w:shd w:val="clear" w:color="auto" w:fill="auto"/>
            <w:vAlign w:val="center"/>
          </w:tcPr>
          <w:p w14:paraId="4FB5F120" w14:textId="77777777" w:rsidR="008238E6" w:rsidRDefault="008238E6">
            <w:pPr>
              <w:spacing w:before="120" w:after="120"/>
              <w:jc w:val="center"/>
              <w:rPr>
                <w:color w:val="000000"/>
              </w:rPr>
            </w:pPr>
          </w:p>
        </w:tc>
        <w:tc>
          <w:tcPr>
            <w:tcW w:w="708" w:type="dxa"/>
            <w:shd w:val="clear" w:color="auto" w:fill="auto"/>
            <w:vAlign w:val="center"/>
          </w:tcPr>
          <w:p w14:paraId="4FB5F121" w14:textId="77777777" w:rsidR="008238E6" w:rsidRDefault="008238E6">
            <w:pPr>
              <w:spacing w:before="120" w:after="120"/>
              <w:jc w:val="center"/>
              <w:rPr>
                <w:color w:val="000000"/>
              </w:rPr>
            </w:pPr>
          </w:p>
        </w:tc>
        <w:tc>
          <w:tcPr>
            <w:tcW w:w="851" w:type="dxa"/>
            <w:shd w:val="clear" w:color="auto" w:fill="auto"/>
            <w:vAlign w:val="center"/>
          </w:tcPr>
          <w:p w14:paraId="4FB5F122" w14:textId="77777777" w:rsidR="008238E6" w:rsidRDefault="00D61AB3">
            <w:pPr>
              <w:spacing w:before="120" w:after="120"/>
              <w:jc w:val="center"/>
              <w:rPr>
                <w:color w:val="000000"/>
              </w:rPr>
            </w:pPr>
            <w:r>
              <w:t>11,12</w:t>
            </w:r>
          </w:p>
        </w:tc>
      </w:tr>
      <w:tr w:rsidR="008238E6" w14:paraId="4FB5F125" w14:textId="77777777">
        <w:trPr>
          <w:trHeight w:val="525"/>
        </w:trPr>
        <w:tc>
          <w:tcPr>
            <w:tcW w:w="13394" w:type="dxa"/>
            <w:gridSpan w:val="8"/>
            <w:shd w:val="clear" w:color="auto" w:fill="D9E1F2"/>
            <w:vAlign w:val="center"/>
          </w:tcPr>
          <w:p w14:paraId="4FB5F124" w14:textId="77777777" w:rsidR="008238E6" w:rsidRDefault="00D61AB3">
            <w:pPr>
              <w:spacing w:before="120" w:after="120"/>
              <w:jc w:val="left"/>
              <w:rPr>
                <w:b/>
              </w:rPr>
            </w:pPr>
            <w:r>
              <w:rPr>
                <w:b/>
              </w:rPr>
              <w:t>Custos</w:t>
            </w:r>
          </w:p>
        </w:tc>
      </w:tr>
      <w:tr w:rsidR="008238E6" w14:paraId="4FB5F12E" w14:textId="77777777">
        <w:trPr>
          <w:trHeight w:val="762"/>
        </w:trPr>
        <w:tc>
          <w:tcPr>
            <w:tcW w:w="2479" w:type="dxa"/>
            <w:shd w:val="clear" w:color="auto" w:fill="auto"/>
            <w:vAlign w:val="center"/>
          </w:tcPr>
          <w:p w14:paraId="4FB5F126" w14:textId="77777777" w:rsidR="008238E6" w:rsidRDefault="00D61AB3">
            <w:pPr>
              <w:spacing w:before="120" w:after="120"/>
              <w:jc w:val="left"/>
              <w:rPr>
                <w:color w:val="000000"/>
              </w:rPr>
            </w:pPr>
            <w:r>
              <w:rPr>
                <w:color w:val="000000"/>
              </w:rPr>
              <w:t>Componentes e fontes (intervenção)</w:t>
            </w:r>
          </w:p>
        </w:tc>
        <w:tc>
          <w:tcPr>
            <w:tcW w:w="992" w:type="dxa"/>
            <w:shd w:val="clear" w:color="auto" w:fill="auto"/>
            <w:vAlign w:val="center"/>
          </w:tcPr>
          <w:p w14:paraId="4FB5F127" w14:textId="77777777" w:rsidR="008238E6" w:rsidRDefault="00D61AB3">
            <w:pPr>
              <w:spacing w:before="120" w:after="120"/>
              <w:jc w:val="center"/>
              <w:rPr>
                <w:color w:val="000000"/>
              </w:rPr>
            </w:pPr>
            <w:r>
              <w:rPr>
                <w:color w:val="000000"/>
              </w:rPr>
              <w:t>11</w:t>
            </w:r>
          </w:p>
        </w:tc>
        <w:tc>
          <w:tcPr>
            <w:tcW w:w="5670" w:type="dxa"/>
            <w:shd w:val="clear" w:color="auto" w:fill="auto"/>
            <w:vAlign w:val="center"/>
          </w:tcPr>
          <w:p w14:paraId="4FB5F128" w14:textId="77777777" w:rsidR="008238E6" w:rsidRDefault="00D61AB3">
            <w:pPr>
              <w:spacing w:before="120" w:after="120"/>
              <w:jc w:val="left"/>
              <w:rPr>
                <w:color w:val="000000"/>
              </w:rPr>
            </w:pPr>
            <w:r>
              <w:rPr>
                <w:color w:val="000000"/>
              </w:rPr>
              <w:t>Os componentes e as fontes dos custos da intervenção são adequados e apresentados de forma clara.</w:t>
            </w:r>
          </w:p>
        </w:tc>
        <w:tc>
          <w:tcPr>
            <w:tcW w:w="993" w:type="dxa"/>
            <w:shd w:val="clear" w:color="auto" w:fill="auto"/>
            <w:vAlign w:val="center"/>
          </w:tcPr>
          <w:p w14:paraId="4FB5F129" w14:textId="77777777" w:rsidR="008238E6" w:rsidRDefault="008238E6">
            <w:pPr>
              <w:spacing w:before="120" w:after="120"/>
              <w:jc w:val="center"/>
              <w:rPr>
                <w:color w:val="000000"/>
              </w:rPr>
            </w:pPr>
          </w:p>
        </w:tc>
        <w:tc>
          <w:tcPr>
            <w:tcW w:w="850" w:type="dxa"/>
            <w:shd w:val="clear" w:color="auto" w:fill="auto"/>
            <w:vAlign w:val="center"/>
          </w:tcPr>
          <w:p w14:paraId="4FB5F12A" w14:textId="77777777" w:rsidR="008238E6" w:rsidRDefault="008238E6">
            <w:pPr>
              <w:spacing w:before="120" w:after="120"/>
              <w:jc w:val="center"/>
              <w:rPr>
                <w:color w:val="000000"/>
              </w:rPr>
            </w:pPr>
          </w:p>
        </w:tc>
        <w:tc>
          <w:tcPr>
            <w:tcW w:w="851" w:type="dxa"/>
            <w:shd w:val="clear" w:color="auto" w:fill="auto"/>
            <w:vAlign w:val="center"/>
          </w:tcPr>
          <w:p w14:paraId="4FB5F12B" w14:textId="77777777" w:rsidR="008238E6" w:rsidRDefault="00D61AB3">
            <w:pPr>
              <w:spacing w:before="120" w:after="120"/>
              <w:jc w:val="center"/>
              <w:rPr>
                <w:color w:val="000000"/>
              </w:rPr>
            </w:pPr>
            <w:r>
              <w:t>X</w:t>
            </w:r>
          </w:p>
        </w:tc>
        <w:tc>
          <w:tcPr>
            <w:tcW w:w="708" w:type="dxa"/>
            <w:shd w:val="clear" w:color="auto" w:fill="auto"/>
            <w:vAlign w:val="center"/>
          </w:tcPr>
          <w:p w14:paraId="4FB5F12C" w14:textId="77777777" w:rsidR="008238E6" w:rsidRDefault="008238E6">
            <w:pPr>
              <w:spacing w:before="120" w:after="120"/>
              <w:jc w:val="center"/>
              <w:rPr>
                <w:color w:val="000000"/>
              </w:rPr>
            </w:pPr>
          </w:p>
        </w:tc>
        <w:tc>
          <w:tcPr>
            <w:tcW w:w="851" w:type="dxa"/>
            <w:shd w:val="clear" w:color="auto" w:fill="auto"/>
            <w:vAlign w:val="center"/>
          </w:tcPr>
          <w:p w14:paraId="4FB5F12D" w14:textId="77777777" w:rsidR="008238E6" w:rsidRDefault="00D61AB3">
            <w:pPr>
              <w:spacing w:before="120" w:after="120"/>
              <w:jc w:val="center"/>
              <w:rPr>
                <w:color w:val="000000"/>
              </w:rPr>
            </w:pPr>
            <w:r>
              <w:t>13</w:t>
            </w:r>
          </w:p>
        </w:tc>
      </w:tr>
      <w:tr w:rsidR="008238E6" w14:paraId="4FB5F137" w14:textId="77777777">
        <w:trPr>
          <w:trHeight w:val="762"/>
        </w:trPr>
        <w:tc>
          <w:tcPr>
            <w:tcW w:w="2479" w:type="dxa"/>
            <w:shd w:val="clear" w:color="auto" w:fill="auto"/>
            <w:vAlign w:val="center"/>
          </w:tcPr>
          <w:p w14:paraId="4FB5F12F" w14:textId="77777777" w:rsidR="008238E6" w:rsidRDefault="00D61AB3">
            <w:pPr>
              <w:spacing w:before="120" w:after="120"/>
              <w:jc w:val="left"/>
              <w:rPr>
                <w:color w:val="000000"/>
              </w:rPr>
            </w:pPr>
            <w:r>
              <w:rPr>
                <w:color w:val="000000"/>
              </w:rPr>
              <w:t>Componentes e fontes (comparadores)</w:t>
            </w:r>
          </w:p>
        </w:tc>
        <w:tc>
          <w:tcPr>
            <w:tcW w:w="992" w:type="dxa"/>
            <w:shd w:val="clear" w:color="auto" w:fill="auto"/>
            <w:vAlign w:val="center"/>
          </w:tcPr>
          <w:p w14:paraId="4FB5F130" w14:textId="77777777" w:rsidR="008238E6" w:rsidRDefault="00D61AB3">
            <w:pPr>
              <w:spacing w:before="120" w:after="120"/>
              <w:jc w:val="center"/>
              <w:rPr>
                <w:color w:val="000000"/>
              </w:rPr>
            </w:pPr>
            <w:r>
              <w:rPr>
                <w:color w:val="000000"/>
              </w:rPr>
              <w:t>12</w:t>
            </w:r>
          </w:p>
        </w:tc>
        <w:tc>
          <w:tcPr>
            <w:tcW w:w="5670" w:type="dxa"/>
            <w:shd w:val="clear" w:color="auto" w:fill="auto"/>
            <w:vAlign w:val="center"/>
          </w:tcPr>
          <w:p w14:paraId="4FB5F131" w14:textId="77777777" w:rsidR="008238E6" w:rsidRDefault="00D61AB3">
            <w:pPr>
              <w:spacing w:before="120" w:after="120"/>
              <w:jc w:val="left"/>
              <w:rPr>
                <w:color w:val="000000"/>
              </w:rPr>
            </w:pPr>
            <w:r>
              <w:rPr>
                <w:color w:val="000000"/>
              </w:rPr>
              <w:t>Os componentes e as fontes dos custos do(s) comparador(es) são adequados e apresentados de forma clara.</w:t>
            </w:r>
          </w:p>
        </w:tc>
        <w:tc>
          <w:tcPr>
            <w:tcW w:w="993" w:type="dxa"/>
            <w:shd w:val="clear" w:color="auto" w:fill="auto"/>
            <w:vAlign w:val="center"/>
          </w:tcPr>
          <w:p w14:paraId="4FB5F132" w14:textId="77777777" w:rsidR="008238E6" w:rsidRDefault="008238E6">
            <w:pPr>
              <w:spacing w:before="120" w:after="120"/>
              <w:jc w:val="center"/>
              <w:rPr>
                <w:color w:val="000000"/>
              </w:rPr>
            </w:pPr>
          </w:p>
        </w:tc>
        <w:tc>
          <w:tcPr>
            <w:tcW w:w="850" w:type="dxa"/>
            <w:shd w:val="clear" w:color="auto" w:fill="auto"/>
            <w:vAlign w:val="center"/>
          </w:tcPr>
          <w:p w14:paraId="4FB5F133" w14:textId="77777777" w:rsidR="008238E6" w:rsidRDefault="008238E6">
            <w:pPr>
              <w:spacing w:before="120" w:after="120"/>
              <w:jc w:val="center"/>
              <w:rPr>
                <w:color w:val="000000"/>
              </w:rPr>
            </w:pPr>
          </w:p>
        </w:tc>
        <w:tc>
          <w:tcPr>
            <w:tcW w:w="851" w:type="dxa"/>
            <w:shd w:val="clear" w:color="auto" w:fill="auto"/>
            <w:vAlign w:val="center"/>
          </w:tcPr>
          <w:p w14:paraId="4FB5F134" w14:textId="77777777" w:rsidR="008238E6" w:rsidRDefault="00D61AB3">
            <w:pPr>
              <w:spacing w:before="120" w:after="120"/>
              <w:jc w:val="center"/>
              <w:rPr>
                <w:color w:val="000000"/>
              </w:rPr>
            </w:pPr>
            <w:r>
              <w:t>X</w:t>
            </w:r>
          </w:p>
        </w:tc>
        <w:tc>
          <w:tcPr>
            <w:tcW w:w="708" w:type="dxa"/>
            <w:shd w:val="clear" w:color="auto" w:fill="auto"/>
            <w:vAlign w:val="center"/>
          </w:tcPr>
          <w:p w14:paraId="4FB5F135" w14:textId="77777777" w:rsidR="008238E6" w:rsidRDefault="008238E6">
            <w:pPr>
              <w:spacing w:before="120" w:after="120"/>
              <w:jc w:val="center"/>
              <w:rPr>
                <w:color w:val="000000"/>
              </w:rPr>
            </w:pPr>
          </w:p>
        </w:tc>
        <w:tc>
          <w:tcPr>
            <w:tcW w:w="851" w:type="dxa"/>
            <w:shd w:val="clear" w:color="auto" w:fill="auto"/>
            <w:vAlign w:val="center"/>
          </w:tcPr>
          <w:p w14:paraId="4FB5F136" w14:textId="77777777" w:rsidR="008238E6" w:rsidRDefault="00D61AB3">
            <w:pPr>
              <w:spacing w:before="120" w:after="120"/>
              <w:jc w:val="center"/>
              <w:rPr>
                <w:color w:val="000000"/>
              </w:rPr>
            </w:pPr>
            <w:r>
              <w:t>13</w:t>
            </w:r>
          </w:p>
        </w:tc>
      </w:tr>
      <w:tr w:rsidR="008238E6" w14:paraId="4FB5F140" w14:textId="77777777">
        <w:trPr>
          <w:trHeight w:val="762"/>
        </w:trPr>
        <w:tc>
          <w:tcPr>
            <w:tcW w:w="2479" w:type="dxa"/>
            <w:shd w:val="clear" w:color="auto" w:fill="auto"/>
            <w:vAlign w:val="center"/>
          </w:tcPr>
          <w:p w14:paraId="4FB5F138" w14:textId="77777777" w:rsidR="008238E6" w:rsidRDefault="00D61AB3">
            <w:pPr>
              <w:spacing w:before="120" w:after="120"/>
              <w:jc w:val="left"/>
              <w:rPr>
                <w:color w:val="000000"/>
              </w:rPr>
            </w:pPr>
            <w:r>
              <w:rPr>
                <w:color w:val="000000"/>
              </w:rPr>
              <w:t>Custos associados</w:t>
            </w:r>
          </w:p>
        </w:tc>
        <w:tc>
          <w:tcPr>
            <w:tcW w:w="992" w:type="dxa"/>
            <w:shd w:val="clear" w:color="auto" w:fill="auto"/>
            <w:vAlign w:val="center"/>
          </w:tcPr>
          <w:p w14:paraId="4FB5F139" w14:textId="77777777" w:rsidR="008238E6" w:rsidRDefault="00D61AB3">
            <w:pPr>
              <w:spacing w:before="120" w:after="120"/>
              <w:jc w:val="center"/>
              <w:rPr>
                <w:color w:val="000000"/>
              </w:rPr>
            </w:pPr>
            <w:r>
              <w:rPr>
                <w:color w:val="000000"/>
              </w:rPr>
              <w:t>13</w:t>
            </w:r>
          </w:p>
        </w:tc>
        <w:tc>
          <w:tcPr>
            <w:tcW w:w="5670" w:type="dxa"/>
            <w:shd w:val="clear" w:color="auto" w:fill="auto"/>
            <w:vAlign w:val="center"/>
          </w:tcPr>
          <w:p w14:paraId="4FB5F13A" w14:textId="77777777" w:rsidR="008238E6" w:rsidRDefault="00D61AB3">
            <w:pPr>
              <w:spacing w:before="120" w:after="120"/>
              <w:jc w:val="left"/>
              <w:rPr>
                <w:color w:val="000000"/>
              </w:rPr>
            </w:pPr>
            <w:r>
              <w:rPr>
                <w:color w:val="000000"/>
              </w:rPr>
              <w:t>Os componentes e as fontes dos custos associados (se houver) são adequados e apresentados de forma clara.</w:t>
            </w:r>
          </w:p>
        </w:tc>
        <w:tc>
          <w:tcPr>
            <w:tcW w:w="993" w:type="dxa"/>
            <w:shd w:val="clear" w:color="auto" w:fill="auto"/>
            <w:vAlign w:val="center"/>
          </w:tcPr>
          <w:p w14:paraId="4FB5F13B" w14:textId="77777777" w:rsidR="008238E6" w:rsidRDefault="008238E6">
            <w:pPr>
              <w:spacing w:before="120" w:after="120"/>
              <w:jc w:val="center"/>
              <w:rPr>
                <w:color w:val="000000"/>
              </w:rPr>
            </w:pPr>
          </w:p>
        </w:tc>
        <w:tc>
          <w:tcPr>
            <w:tcW w:w="850" w:type="dxa"/>
            <w:shd w:val="clear" w:color="auto" w:fill="auto"/>
            <w:vAlign w:val="center"/>
          </w:tcPr>
          <w:p w14:paraId="4FB5F13C" w14:textId="77777777" w:rsidR="008238E6" w:rsidRDefault="008238E6">
            <w:pPr>
              <w:spacing w:before="120" w:after="120"/>
              <w:jc w:val="center"/>
              <w:rPr>
                <w:color w:val="000000"/>
              </w:rPr>
            </w:pPr>
          </w:p>
        </w:tc>
        <w:tc>
          <w:tcPr>
            <w:tcW w:w="851" w:type="dxa"/>
            <w:shd w:val="clear" w:color="auto" w:fill="auto"/>
            <w:vAlign w:val="center"/>
          </w:tcPr>
          <w:p w14:paraId="4FB5F13D" w14:textId="77777777" w:rsidR="008238E6" w:rsidRDefault="00D61AB3">
            <w:pPr>
              <w:spacing w:before="120" w:after="120"/>
              <w:jc w:val="center"/>
              <w:rPr>
                <w:color w:val="000000"/>
              </w:rPr>
            </w:pPr>
            <w:r>
              <w:t>X</w:t>
            </w:r>
          </w:p>
        </w:tc>
        <w:tc>
          <w:tcPr>
            <w:tcW w:w="708" w:type="dxa"/>
            <w:shd w:val="clear" w:color="auto" w:fill="auto"/>
            <w:vAlign w:val="center"/>
          </w:tcPr>
          <w:p w14:paraId="4FB5F13E" w14:textId="77777777" w:rsidR="008238E6" w:rsidRDefault="008238E6">
            <w:pPr>
              <w:spacing w:before="120" w:after="120"/>
              <w:jc w:val="center"/>
              <w:rPr>
                <w:color w:val="000000"/>
              </w:rPr>
            </w:pPr>
          </w:p>
        </w:tc>
        <w:tc>
          <w:tcPr>
            <w:tcW w:w="851" w:type="dxa"/>
            <w:shd w:val="clear" w:color="auto" w:fill="auto"/>
            <w:vAlign w:val="center"/>
          </w:tcPr>
          <w:p w14:paraId="4FB5F13F" w14:textId="77777777" w:rsidR="008238E6" w:rsidRDefault="00D61AB3">
            <w:pPr>
              <w:spacing w:before="120" w:after="120"/>
              <w:jc w:val="center"/>
              <w:rPr>
                <w:color w:val="000000"/>
              </w:rPr>
            </w:pPr>
            <w:r>
              <w:t>13</w:t>
            </w:r>
          </w:p>
        </w:tc>
      </w:tr>
    </w:tbl>
    <w:p w14:paraId="4FB5F141" w14:textId="77777777" w:rsidR="008238E6" w:rsidRDefault="00D61AB3">
      <w:pPr>
        <w:tabs>
          <w:tab w:val="left" w:pos="2764"/>
          <w:tab w:val="left" w:pos="3898"/>
          <w:tab w:val="left" w:pos="10843"/>
          <w:tab w:val="left" w:pos="11543"/>
          <w:tab w:val="left" w:pos="12243"/>
          <w:tab w:val="left" w:pos="12996"/>
          <w:tab w:val="left" w:pos="13696"/>
        </w:tabs>
        <w:spacing w:before="120" w:after="120" w:line="240" w:lineRule="auto"/>
        <w:ind w:left="75"/>
        <w:jc w:val="left"/>
        <w:rPr>
          <w:color w:val="000000"/>
        </w:rPr>
      </w:pPr>
      <w:r>
        <w:br w:type="page"/>
      </w:r>
    </w:p>
    <w:tbl>
      <w:tblPr>
        <w:tblStyle w:val="affffffffc"/>
        <w:tblW w:w="133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992"/>
        <w:gridCol w:w="5670"/>
        <w:gridCol w:w="993"/>
        <w:gridCol w:w="850"/>
        <w:gridCol w:w="851"/>
        <w:gridCol w:w="708"/>
        <w:gridCol w:w="851"/>
      </w:tblGrid>
      <w:tr w:rsidR="008238E6" w14:paraId="4FB5F14A" w14:textId="77777777">
        <w:trPr>
          <w:trHeight w:val="762"/>
        </w:trPr>
        <w:tc>
          <w:tcPr>
            <w:tcW w:w="2479"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2" w14:textId="77777777" w:rsidR="008238E6" w:rsidRDefault="00D61AB3">
            <w:pPr>
              <w:spacing w:before="120" w:after="120"/>
              <w:jc w:val="center"/>
              <w:rPr>
                <w:b/>
              </w:rPr>
            </w:pPr>
            <w:r>
              <w:rPr>
                <w:b/>
              </w:rPr>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3" w14:textId="77777777" w:rsidR="008238E6" w:rsidRDefault="00D61AB3">
            <w:pPr>
              <w:spacing w:before="120" w:after="120"/>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4" w14:textId="77777777" w:rsidR="008238E6" w:rsidRDefault="00D61AB3">
            <w:pPr>
              <w:spacing w:before="120" w:after="120"/>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5" w14:textId="77777777" w:rsidR="008238E6" w:rsidRDefault="00D61AB3">
            <w:pPr>
              <w:spacing w:before="120" w:after="120"/>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6" w14:textId="77777777" w:rsidR="008238E6" w:rsidRDefault="00D61AB3">
            <w:pPr>
              <w:spacing w:before="120" w:after="120"/>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7" w14:textId="77777777" w:rsidR="008238E6" w:rsidRDefault="00D61AB3">
            <w:pPr>
              <w:spacing w:before="120" w:after="120"/>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8" w14:textId="77777777" w:rsidR="008238E6" w:rsidRDefault="00D61AB3">
            <w:pPr>
              <w:spacing w:before="120" w:after="120"/>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49" w14:textId="77777777" w:rsidR="008238E6" w:rsidRDefault="00D61AB3">
            <w:pPr>
              <w:spacing w:before="120" w:after="120"/>
              <w:jc w:val="center"/>
              <w:rPr>
                <w:b/>
              </w:rPr>
            </w:pPr>
            <w:r>
              <w:rPr>
                <w:b/>
              </w:rPr>
              <w:t>Pág.nº</w:t>
            </w:r>
          </w:p>
        </w:tc>
      </w:tr>
      <w:tr w:rsidR="008238E6" w14:paraId="4FB5F14C" w14:textId="77777777">
        <w:trPr>
          <w:trHeight w:val="525"/>
        </w:trPr>
        <w:tc>
          <w:tcPr>
            <w:tcW w:w="13394" w:type="dxa"/>
            <w:gridSpan w:val="8"/>
            <w:shd w:val="clear" w:color="auto" w:fill="D9E1F2"/>
            <w:vAlign w:val="center"/>
          </w:tcPr>
          <w:p w14:paraId="4FB5F14B" w14:textId="77777777" w:rsidR="008238E6" w:rsidRDefault="00D61AB3">
            <w:pPr>
              <w:spacing w:before="120" w:after="120"/>
              <w:jc w:val="left"/>
              <w:rPr>
                <w:b/>
              </w:rPr>
            </w:pPr>
            <w:r>
              <w:rPr>
                <w:b/>
              </w:rPr>
              <w:t>Custos (cont.)</w:t>
            </w:r>
          </w:p>
        </w:tc>
      </w:tr>
      <w:tr w:rsidR="008238E6" w14:paraId="4FB5F155" w14:textId="77777777">
        <w:trPr>
          <w:trHeight w:val="762"/>
        </w:trPr>
        <w:tc>
          <w:tcPr>
            <w:tcW w:w="2479" w:type="dxa"/>
            <w:shd w:val="clear" w:color="auto" w:fill="auto"/>
            <w:vAlign w:val="center"/>
          </w:tcPr>
          <w:p w14:paraId="4FB5F14D" w14:textId="77777777" w:rsidR="008238E6" w:rsidRDefault="00D61AB3">
            <w:pPr>
              <w:spacing w:before="120" w:after="120"/>
              <w:jc w:val="left"/>
              <w:rPr>
                <w:color w:val="000000"/>
              </w:rPr>
            </w:pPr>
            <w:r>
              <w:rPr>
                <w:color w:val="000000"/>
              </w:rPr>
              <w:t>Custos não incluídos</w:t>
            </w:r>
          </w:p>
        </w:tc>
        <w:tc>
          <w:tcPr>
            <w:tcW w:w="992" w:type="dxa"/>
            <w:shd w:val="clear" w:color="auto" w:fill="auto"/>
            <w:vAlign w:val="center"/>
          </w:tcPr>
          <w:p w14:paraId="4FB5F14E" w14:textId="77777777" w:rsidR="008238E6" w:rsidRDefault="00D61AB3">
            <w:pPr>
              <w:spacing w:before="120" w:after="120"/>
              <w:jc w:val="center"/>
              <w:rPr>
                <w:color w:val="000000"/>
              </w:rPr>
            </w:pPr>
            <w:r>
              <w:rPr>
                <w:color w:val="000000"/>
              </w:rPr>
              <w:t>14</w:t>
            </w:r>
          </w:p>
        </w:tc>
        <w:tc>
          <w:tcPr>
            <w:tcW w:w="5670" w:type="dxa"/>
            <w:shd w:val="clear" w:color="auto" w:fill="auto"/>
            <w:vAlign w:val="center"/>
          </w:tcPr>
          <w:p w14:paraId="4FB5F14F" w14:textId="77777777" w:rsidR="008238E6" w:rsidRDefault="00D61AB3">
            <w:pPr>
              <w:spacing w:before="120" w:after="120"/>
              <w:jc w:val="left"/>
              <w:rPr>
                <w:color w:val="000000"/>
              </w:rPr>
            </w:pPr>
            <w:r>
              <w:rPr>
                <w:color w:val="000000"/>
              </w:rPr>
              <w:t>Os custos não incluídos são apresentados de forma clara e a justificativa para a não inclusão é adequada.</w:t>
            </w:r>
          </w:p>
        </w:tc>
        <w:tc>
          <w:tcPr>
            <w:tcW w:w="993" w:type="dxa"/>
            <w:shd w:val="clear" w:color="auto" w:fill="auto"/>
            <w:vAlign w:val="center"/>
          </w:tcPr>
          <w:p w14:paraId="4FB5F150" w14:textId="77777777" w:rsidR="008238E6" w:rsidRDefault="008238E6">
            <w:pPr>
              <w:spacing w:before="120" w:after="120"/>
              <w:jc w:val="center"/>
              <w:rPr>
                <w:color w:val="000000"/>
              </w:rPr>
            </w:pPr>
          </w:p>
        </w:tc>
        <w:tc>
          <w:tcPr>
            <w:tcW w:w="850" w:type="dxa"/>
            <w:shd w:val="clear" w:color="auto" w:fill="auto"/>
            <w:vAlign w:val="center"/>
          </w:tcPr>
          <w:p w14:paraId="4FB5F151" w14:textId="77777777" w:rsidR="008238E6" w:rsidRDefault="00D61AB3">
            <w:pPr>
              <w:spacing w:before="120" w:after="120"/>
              <w:jc w:val="center"/>
              <w:rPr>
                <w:color w:val="000000"/>
              </w:rPr>
            </w:pPr>
            <w:r>
              <w:t>X</w:t>
            </w:r>
          </w:p>
        </w:tc>
        <w:tc>
          <w:tcPr>
            <w:tcW w:w="851" w:type="dxa"/>
            <w:shd w:val="clear" w:color="auto" w:fill="auto"/>
            <w:vAlign w:val="center"/>
          </w:tcPr>
          <w:p w14:paraId="4FB5F152" w14:textId="77777777" w:rsidR="008238E6" w:rsidRDefault="008238E6">
            <w:pPr>
              <w:spacing w:before="120" w:after="120"/>
              <w:jc w:val="center"/>
              <w:rPr>
                <w:color w:val="000000"/>
              </w:rPr>
            </w:pPr>
          </w:p>
        </w:tc>
        <w:tc>
          <w:tcPr>
            <w:tcW w:w="708" w:type="dxa"/>
            <w:shd w:val="clear" w:color="auto" w:fill="auto"/>
            <w:vAlign w:val="center"/>
          </w:tcPr>
          <w:p w14:paraId="4FB5F153" w14:textId="77777777" w:rsidR="008238E6" w:rsidRDefault="008238E6">
            <w:pPr>
              <w:spacing w:before="120" w:after="120"/>
              <w:jc w:val="center"/>
              <w:rPr>
                <w:color w:val="000000"/>
              </w:rPr>
            </w:pPr>
          </w:p>
        </w:tc>
        <w:tc>
          <w:tcPr>
            <w:tcW w:w="851" w:type="dxa"/>
            <w:shd w:val="clear" w:color="auto" w:fill="auto"/>
            <w:vAlign w:val="center"/>
          </w:tcPr>
          <w:p w14:paraId="4FB5F154" w14:textId="77777777" w:rsidR="008238E6" w:rsidRDefault="00D61AB3">
            <w:pPr>
              <w:spacing w:before="120" w:after="120"/>
              <w:jc w:val="center"/>
              <w:rPr>
                <w:color w:val="000000"/>
              </w:rPr>
            </w:pPr>
            <w:r>
              <w:t>NSA</w:t>
            </w:r>
          </w:p>
        </w:tc>
      </w:tr>
      <w:tr w:rsidR="008238E6" w14:paraId="4FB5F15E" w14:textId="77777777">
        <w:trPr>
          <w:trHeight w:val="762"/>
        </w:trPr>
        <w:tc>
          <w:tcPr>
            <w:tcW w:w="2479" w:type="dxa"/>
            <w:shd w:val="clear" w:color="auto" w:fill="auto"/>
            <w:vAlign w:val="center"/>
          </w:tcPr>
          <w:p w14:paraId="4FB5F156" w14:textId="77777777" w:rsidR="008238E6" w:rsidRDefault="00D61AB3">
            <w:pPr>
              <w:spacing w:before="120" w:after="120"/>
              <w:jc w:val="left"/>
              <w:rPr>
                <w:color w:val="000000"/>
              </w:rPr>
            </w:pPr>
            <w:r>
              <w:rPr>
                <w:color w:val="000000"/>
              </w:rPr>
              <w:t>Moeda, data e taxa de conversão cambial (se aplicável)</w:t>
            </w:r>
          </w:p>
        </w:tc>
        <w:tc>
          <w:tcPr>
            <w:tcW w:w="992" w:type="dxa"/>
            <w:shd w:val="clear" w:color="auto" w:fill="auto"/>
            <w:vAlign w:val="center"/>
          </w:tcPr>
          <w:p w14:paraId="4FB5F157" w14:textId="77777777" w:rsidR="008238E6" w:rsidRDefault="00D61AB3">
            <w:pPr>
              <w:spacing w:before="120" w:after="120"/>
              <w:jc w:val="center"/>
              <w:rPr>
                <w:color w:val="000000"/>
              </w:rPr>
            </w:pPr>
            <w:r>
              <w:rPr>
                <w:color w:val="000000"/>
              </w:rPr>
              <w:t>15</w:t>
            </w:r>
          </w:p>
        </w:tc>
        <w:tc>
          <w:tcPr>
            <w:tcW w:w="5670" w:type="dxa"/>
            <w:shd w:val="clear" w:color="auto" w:fill="auto"/>
            <w:vAlign w:val="center"/>
          </w:tcPr>
          <w:p w14:paraId="4FB5F158" w14:textId="77777777" w:rsidR="008238E6" w:rsidRDefault="00D61AB3">
            <w:pPr>
              <w:spacing w:before="120" w:after="120"/>
              <w:jc w:val="left"/>
              <w:rPr>
                <w:color w:val="000000"/>
              </w:rPr>
            </w:pPr>
            <w:r>
              <w:rPr>
                <w:color w:val="000000"/>
              </w:rPr>
              <w:t>O uso de valores financeiros internacionais é acompanhado de informação quanto à data e à taxa da conversão de moedas.</w:t>
            </w:r>
          </w:p>
        </w:tc>
        <w:tc>
          <w:tcPr>
            <w:tcW w:w="993" w:type="dxa"/>
            <w:shd w:val="clear" w:color="auto" w:fill="auto"/>
            <w:vAlign w:val="center"/>
          </w:tcPr>
          <w:p w14:paraId="4FB5F159" w14:textId="77777777" w:rsidR="008238E6" w:rsidRDefault="008238E6">
            <w:pPr>
              <w:spacing w:before="120" w:after="120"/>
              <w:jc w:val="center"/>
              <w:rPr>
                <w:color w:val="000000"/>
              </w:rPr>
            </w:pPr>
          </w:p>
        </w:tc>
        <w:tc>
          <w:tcPr>
            <w:tcW w:w="850" w:type="dxa"/>
            <w:shd w:val="clear" w:color="auto" w:fill="auto"/>
            <w:vAlign w:val="center"/>
          </w:tcPr>
          <w:p w14:paraId="4FB5F15A" w14:textId="77777777" w:rsidR="008238E6" w:rsidRDefault="008238E6">
            <w:pPr>
              <w:spacing w:before="120" w:after="120"/>
              <w:jc w:val="center"/>
              <w:rPr>
                <w:color w:val="000000"/>
              </w:rPr>
            </w:pPr>
          </w:p>
        </w:tc>
        <w:tc>
          <w:tcPr>
            <w:tcW w:w="851" w:type="dxa"/>
            <w:shd w:val="clear" w:color="auto" w:fill="auto"/>
            <w:vAlign w:val="center"/>
          </w:tcPr>
          <w:p w14:paraId="4FB5F15B" w14:textId="77777777" w:rsidR="008238E6" w:rsidRDefault="00D61AB3">
            <w:pPr>
              <w:spacing w:before="120" w:after="120"/>
              <w:jc w:val="center"/>
              <w:rPr>
                <w:color w:val="000000"/>
              </w:rPr>
            </w:pPr>
            <w:r>
              <w:t>X</w:t>
            </w:r>
          </w:p>
        </w:tc>
        <w:tc>
          <w:tcPr>
            <w:tcW w:w="708" w:type="dxa"/>
            <w:shd w:val="clear" w:color="auto" w:fill="auto"/>
            <w:vAlign w:val="center"/>
          </w:tcPr>
          <w:p w14:paraId="4FB5F15C" w14:textId="77777777" w:rsidR="008238E6" w:rsidRDefault="008238E6">
            <w:pPr>
              <w:spacing w:before="120" w:after="120"/>
              <w:jc w:val="center"/>
              <w:rPr>
                <w:color w:val="000000"/>
              </w:rPr>
            </w:pPr>
          </w:p>
        </w:tc>
        <w:tc>
          <w:tcPr>
            <w:tcW w:w="851" w:type="dxa"/>
            <w:shd w:val="clear" w:color="auto" w:fill="auto"/>
            <w:vAlign w:val="center"/>
          </w:tcPr>
          <w:p w14:paraId="4FB5F15D" w14:textId="77777777" w:rsidR="008238E6" w:rsidRDefault="00D61AB3">
            <w:pPr>
              <w:spacing w:before="120" w:after="120"/>
              <w:jc w:val="center"/>
              <w:rPr>
                <w:color w:val="000000"/>
              </w:rPr>
            </w:pPr>
            <w:r>
              <w:t>9,10</w:t>
            </w:r>
          </w:p>
        </w:tc>
      </w:tr>
      <w:tr w:rsidR="008238E6" w14:paraId="4FB5F160" w14:textId="77777777">
        <w:trPr>
          <w:trHeight w:val="525"/>
        </w:trPr>
        <w:tc>
          <w:tcPr>
            <w:tcW w:w="13394" w:type="dxa"/>
            <w:gridSpan w:val="8"/>
            <w:shd w:val="clear" w:color="auto" w:fill="D9E1F2"/>
            <w:vAlign w:val="center"/>
          </w:tcPr>
          <w:p w14:paraId="4FB5F15F" w14:textId="77777777" w:rsidR="008238E6" w:rsidRDefault="00D61AB3">
            <w:pPr>
              <w:spacing w:before="120" w:after="120"/>
              <w:jc w:val="left"/>
              <w:rPr>
                <w:b/>
              </w:rPr>
            </w:pPr>
            <w:r>
              <w:rPr>
                <w:b/>
              </w:rPr>
              <w:t>Modelagem</w:t>
            </w:r>
          </w:p>
        </w:tc>
      </w:tr>
      <w:tr w:rsidR="008238E6" w14:paraId="4FB5F169" w14:textId="77777777">
        <w:trPr>
          <w:trHeight w:val="762"/>
        </w:trPr>
        <w:tc>
          <w:tcPr>
            <w:tcW w:w="2479" w:type="dxa"/>
            <w:shd w:val="clear" w:color="auto" w:fill="auto"/>
            <w:vAlign w:val="center"/>
          </w:tcPr>
          <w:p w14:paraId="4FB5F161" w14:textId="77777777" w:rsidR="008238E6" w:rsidRDefault="00D61AB3">
            <w:pPr>
              <w:spacing w:before="120" w:after="120"/>
              <w:jc w:val="left"/>
              <w:rPr>
                <w:color w:val="000000"/>
              </w:rPr>
            </w:pPr>
            <w:r>
              <w:rPr>
                <w:color w:val="000000"/>
              </w:rPr>
              <w:t>Pressupostos</w:t>
            </w:r>
          </w:p>
        </w:tc>
        <w:tc>
          <w:tcPr>
            <w:tcW w:w="992" w:type="dxa"/>
            <w:shd w:val="clear" w:color="auto" w:fill="auto"/>
            <w:vAlign w:val="center"/>
          </w:tcPr>
          <w:p w14:paraId="4FB5F162" w14:textId="77777777" w:rsidR="008238E6" w:rsidRDefault="00D61AB3">
            <w:pPr>
              <w:spacing w:before="120" w:after="120"/>
              <w:jc w:val="center"/>
              <w:rPr>
                <w:color w:val="000000"/>
              </w:rPr>
            </w:pPr>
            <w:r>
              <w:rPr>
                <w:color w:val="000000"/>
              </w:rPr>
              <w:t>16</w:t>
            </w:r>
          </w:p>
        </w:tc>
        <w:tc>
          <w:tcPr>
            <w:tcW w:w="5670" w:type="dxa"/>
            <w:shd w:val="clear" w:color="auto" w:fill="auto"/>
            <w:vAlign w:val="center"/>
          </w:tcPr>
          <w:p w14:paraId="4FB5F163" w14:textId="77777777" w:rsidR="008238E6" w:rsidRDefault="00D61AB3">
            <w:pPr>
              <w:spacing w:before="120" w:after="120"/>
              <w:jc w:val="left"/>
              <w:rPr>
                <w:color w:val="000000"/>
              </w:rPr>
            </w:pPr>
            <w:r>
              <w:rPr>
                <w:color w:val="000000"/>
              </w:rPr>
              <w:t>Os pressupostos adotados no modelo são adequados e apresentados de forma clara.</w:t>
            </w:r>
          </w:p>
        </w:tc>
        <w:tc>
          <w:tcPr>
            <w:tcW w:w="993" w:type="dxa"/>
            <w:shd w:val="clear" w:color="auto" w:fill="auto"/>
            <w:vAlign w:val="center"/>
          </w:tcPr>
          <w:p w14:paraId="4FB5F164" w14:textId="77777777" w:rsidR="008238E6" w:rsidRDefault="008238E6">
            <w:pPr>
              <w:spacing w:before="120" w:after="120"/>
              <w:jc w:val="center"/>
              <w:rPr>
                <w:color w:val="000000"/>
              </w:rPr>
            </w:pPr>
          </w:p>
        </w:tc>
        <w:tc>
          <w:tcPr>
            <w:tcW w:w="850" w:type="dxa"/>
            <w:shd w:val="clear" w:color="auto" w:fill="auto"/>
            <w:vAlign w:val="center"/>
          </w:tcPr>
          <w:p w14:paraId="4FB5F165" w14:textId="77777777" w:rsidR="008238E6" w:rsidRDefault="008238E6">
            <w:pPr>
              <w:spacing w:before="120" w:after="120"/>
              <w:jc w:val="center"/>
              <w:rPr>
                <w:color w:val="000000"/>
              </w:rPr>
            </w:pPr>
          </w:p>
        </w:tc>
        <w:tc>
          <w:tcPr>
            <w:tcW w:w="851" w:type="dxa"/>
            <w:shd w:val="clear" w:color="auto" w:fill="auto"/>
            <w:vAlign w:val="center"/>
          </w:tcPr>
          <w:p w14:paraId="4FB5F166" w14:textId="77777777" w:rsidR="008238E6" w:rsidRDefault="00D61AB3">
            <w:pPr>
              <w:spacing w:before="120" w:after="120"/>
              <w:jc w:val="center"/>
              <w:rPr>
                <w:color w:val="000000"/>
              </w:rPr>
            </w:pPr>
            <w:r>
              <w:t>X</w:t>
            </w:r>
          </w:p>
        </w:tc>
        <w:tc>
          <w:tcPr>
            <w:tcW w:w="708" w:type="dxa"/>
            <w:shd w:val="clear" w:color="auto" w:fill="auto"/>
            <w:vAlign w:val="center"/>
          </w:tcPr>
          <w:p w14:paraId="4FB5F167" w14:textId="77777777" w:rsidR="008238E6" w:rsidRDefault="008238E6">
            <w:pPr>
              <w:spacing w:before="120" w:after="120"/>
              <w:jc w:val="center"/>
              <w:rPr>
                <w:color w:val="000000"/>
              </w:rPr>
            </w:pPr>
          </w:p>
        </w:tc>
        <w:tc>
          <w:tcPr>
            <w:tcW w:w="851" w:type="dxa"/>
            <w:shd w:val="clear" w:color="auto" w:fill="auto"/>
            <w:vAlign w:val="center"/>
          </w:tcPr>
          <w:p w14:paraId="4FB5F168" w14:textId="77777777" w:rsidR="008238E6" w:rsidRDefault="00D61AB3">
            <w:pPr>
              <w:spacing w:before="120" w:after="120"/>
              <w:jc w:val="center"/>
              <w:rPr>
                <w:color w:val="000000"/>
              </w:rPr>
            </w:pPr>
            <w:r>
              <w:t>10</w:t>
            </w:r>
          </w:p>
        </w:tc>
      </w:tr>
      <w:tr w:rsidR="008238E6" w14:paraId="4FB5F172" w14:textId="77777777">
        <w:trPr>
          <w:trHeight w:val="762"/>
        </w:trPr>
        <w:tc>
          <w:tcPr>
            <w:tcW w:w="2479" w:type="dxa"/>
            <w:shd w:val="clear" w:color="auto" w:fill="auto"/>
            <w:vAlign w:val="center"/>
          </w:tcPr>
          <w:p w14:paraId="4FB5F16A" w14:textId="77777777" w:rsidR="008238E6" w:rsidRDefault="00D61AB3">
            <w:pPr>
              <w:spacing w:before="120" w:after="120"/>
              <w:jc w:val="left"/>
              <w:rPr>
                <w:color w:val="000000"/>
              </w:rPr>
            </w:pPr>
            <w:r>
              <w:rPr>
                <w:color w:val="000000"/>
              </w:rPr>
              <w:t>Método de modelagem</w:t>
            </w:r>
          </w:p>
        </w:tc>
        <w:tc>
          <w:tcPr>
            <w:tcW w:w="992" w:type="dxa"/>
            <w:shd w:val="clear" w:color="auto" w:fill="auto"/>
            <w:vAlign w:val="center"/>
          </w:tcPr>
          <w:p w14:paraId="4FB5F16B" w14:textId="77777777" w:rsidR="008238E6" w:rsidRDefault="00D61AB3">
            <w:pPr>
              <w:spacing w:before="120" w:after="120"/>
              <w:jc w:val="center"/>
              <w:rPr>
                <w:color w:val="000000"/>
              </w:rPr>
            </w:pPr>
            <w:r>
              <w:rPr>
                <w:color w:val="000000"/>
              </w:rPr>
              <w:t>17</w:t>
            </w:r>
          </w:p>
        </w:tc>
        <w:tc>
          <w:tcPr>
            <w:tcW w:w="5670" w:type="dxa"/>
            <w:shd w:val="clear" w:color="auto" w:fill="auto"/>
            <w:vAlign w:val="center"/>
          </w:tcPr>
          <w:p w14:paraId="4FB5F16C" w14:textId="77777777" w:rsidR="008238E6" w:rsidRDefault="00D61AB3">
            <w:pPr>
              <w:spacing w:before="120" w:after="120"/>
              <w:jc w:val="left"/>
              <w:rPr>
                <w:color w:val="000000"/>
              </w:rPr>
            </w:pPr>
            <w:r>
              <w:rPr>
                <w:color w:val="000000"/>
              </w:rPr>
              <w:t>O modelo adotado é apresentado de forma clara e a justificativa para sua utilização é adequada, incluindo figura da estrutura do modelo e as informações sobre todos os parâmetros relevantes (valores, intervalos, distribuições de probabilidades, estados de saúde etc.).</w:t>
            </w:r>
          </w:p>
        </w:tc>
        <w:tc>
          <w:tcPr>
            <w:tcW w:w="993" w:type="dxa"/>
            <w:shd w:val="clear" w:color="auto" w:fill="auto"/>
            <w:vAlign w:val="center"/>
          </w:tcPr>
          <w:p w14:paraId="4FB5F16D" w14:textId="77777777" w:rsidR="008238E6" w:rsidRDefault="00D61AB3">
            <w:pPr>
              <w:spacing w:before="120" w:after="120"/>
              <w:jc w:val="center"/>
              <w:rPr>
                <w:color w:val="000000"/>
              </w:rPr>
            </w:pPr>
            <w:r>
              <w:t>X</w:t>
            </w:r>
          </w:p>
        </w:tc>
        <w:tc>
          <w:tcPr>
            <w:tcW w:w="850" w:type="dxa"/>
            <w:shd w:val="clear" w:color="auto" w:fill="auto"/>
            <w:vAlign w:val="center"/>
          </w:tcPr>
          <w:p w14:paraId="4FB5F16E" w14:textId="77777777" w:rsidR="008238E6" w:rsidRDefault="008238E6">
            <w:pPr>
              <w:spacing w:before="120" w:after="120"/>
              <w:jc w:val="center"/>
              <w:rPr>
                <w:color w:val="000000"/>
              </w:rPr>
            </w:pPr>
          </w:p>
        </w:tc>
        <w:tc>
          <w:tcPr>
            <w:tcW w:w="851" w:type="dxa"/>
            <w:shd w:val="clear" w:color="auto" w:fill="auto"/>
            <w:vAlign w:val="center"/>
          </w:tcPr>
          <w:p w14:paraId="4FB5F16F" w14:textId="77777777" w:rsidR="008238E6" w:rsidRDefault="008238E6">
            <w:pPr>
              <w:spacing w:before="120" w:after="120"/>
              <w:jc w:val="center"/>
              <w:rPr>
                <w:color w:val="000000"/>
              </w:rPr>
            </w:pPr>
          </w:p>
        </w:tc>
        <w:tc>
          <w:tcPr>
            <w:tcW w:w="708" w:type="dxa"/>
            <w:shd w:val="clear" w:color="auto" w:fill="auto"/>
            <w:vAlign w:val="center"/>
          </w:tcPr>
          <w:p w14:paraId="4FB5F170" w14:textId="77777777" w:rsidR="008238E6" w:rsidRDefault="008238E6">
            <w:pPr>
              <w:spacing w:before="120" w:after="120"/>
              <w:jc w:val="center"/>
              <w:rPr>
                <w:color w:val="000000"/>
              </w:rPr>
            </w:pPr>
          </w:p>
        </w:tc>
        <w:tc>
          <w:tcPr>
            <w:tcW w:w="851" w:type="dxa"/>
            <w:shd w:val="clear" w:color="auto" w:fill="auto"/>
            <w:vAlign w:val="center"/>
          </w:tcPr>
          <w:p w14:paraId="4FB5F171" w14:textId="77777777" w:rsidR="008238E6" w:rsidRDefault="00D61AB3">
            <w:pPr>
              <w:spacing w:before="120" w:after="120"/>
              <w:jc w:val="center"/>
              <w:rPr>
                <w:color w:val="000000"/>
              </w:rPr>
            </w:pPr>
            <w:r>
              <w:t>10,11</w:t>
            </w:r>
          </w:p>
        </w:tc>
      </w:tr>
      <w:tr w:rsidR="008238E6" w14:paraId="4FB5F17B" w14:textId="77777777">
        <w:trPr>
          <w:trHeight w:val="762"/>
        </w:trPr>
        <w:tc>
          <w:tcPr>
            <w:tcW w:w="2479" w:type="dxa"/>
            <w:shd w:val="clear" w:color="auto" w:fill="auto"/>
            <w:vAlign w:val="center"/>
          </w:tcPr>
          <w:p w14:paraId="4FB5F173" w14:textId="77777777" w:rsidR="008238E6" w:rsidRDefault="00D61AB3">
            <w:pPr>
              <w:spacing w:before="120" w:after="120"/>
              <w:jc w:val="left"/>
              <w:rPr>
                <w:color w:val="000000"/>
              </w:rPr>
            </w:pPr>
            <w:r>
              <w:rPr>
                <w:color w:val="000000"/>
              </w:rPr>
              <w:t>Métodos analíticos de apoio</w:t>
            </w:r>
          </w:p>
        </w:tc>
        <w:tc>
          <w:tcPr>
            <w:tcW w:w="992" w:type="dxa"/>
            <w:shd w:val="clear" w:color="auto" w:fill="auto"/>
            <w:vAlign w:val="center"/>
          </w:tcPr>
          <w:p w14:paraId="4FB5F174" w14:textId="77777777" w:rsidR="008238E6" w:rsidRDefault="00D61AB3">
            <w:pPr>
              <w:spacing w:before="120" w:after="120"/>
              <w:jc w:val="center"/>
              <w:rPr>
                <w:color w:val="000000"/>
              </w:rPr>
            </w:pPr>
            <w:r>
              <w:rPr>
                <w:color w:val="000000"/>
              </w:rPr>
              <w:t>18</w:t>
            </w:r>
          </w:p>
        </w:tc>
        <w:tc>
          <w:tcPr>
            <w:tcW w:w="5670" w:type="dxa"/>
            <w:shd w:val="clear" w:color="auto" w:fill="auto"/>
            <w:vAlign w:val="center"/>
          </w:tcPr>
          <w:p w14:paraId="4FB5F175" w14:textId="77777777" w:rsidR="008238E6" w:rsidRDefault="00D61AB3">
            <w:pPr>
              <w:spacing w:before="120" w:after="120"/>
              <w:jc w:val="left"/>
              <w:rPr>
                <w:color w:val="000000"/>
              </w:rPr>
            </w:pPr>
            <w:r>
              <w:rPr>
                <w:color w:val="000000"/>
              </w:rPr>
              <w:t>Os métodos analíticos adicionais, tais como técnicas para lidar com dados faltantes, correção de meio ciclo, ajustes para heterogeneidade nas estimativas, são adequados e apresentados de forma clara.</w:t>
            </w:r>
          </w:p>
        </w:tc>
        <w:tc>
          <w:tcPr>
            <w:tcW w:w="993" w:type="dxa"/>
            <w:shd w:val="clear" w:color="auto" w:fill="auto"/>
            <w:vAlign w:val="center"/>
          </w:tcPr>
          <w:p w14:paraId="4FB5F176" w14:textId="77777777" w:rsidR="008238E6" w:rsidRDefault="00D61AB3">
            <w:pPr>
              <w:spacing w:before="120" w:after="120"/>
              <w:jc w:val="center"/>
              <w:rPr>
                <w:color w:val="000000"/>
              </w:rPr>
            </w:pPr>
            <w:r>
              <w:t>X</w:t>
            </w:r>
          </w:p>
        </w:tc>
        <w:tc>
          <w:tcPr>
            <w:tcW w:w="850" w:type="dxa"/>
            <w:shd w:val="clear" w:color="auto" w:fill="auto"/>
            <w:vAlign w:val="center"/>
          </w:tcPr>
          <w:p w14:paraId="4FB5F177" w14:textId="77777777" w:rsidR="008238E6" w:rsidRDefault="008238E6">
            <w:pPr>
              <w:spacing w:before="120" w:after="120"/>
              <w:jc w:val="center"/>
              <w:rPr>
                <w:color w:val="000000"/>
              </w:rPr>
            </w:pPr>
          </w:p>
        </w:tc>
        <w:tc>
          <w:tcPr>
            <w:tcW w:w="851" w:type="dxa"/>
            <w:shd w:val="clear" w:color="auto" w:fill="auto"/>
            <w:vAlign w:val="center"/>
          </w:tcPr>
          <w:p w14:paraId="4FB5F178" w14:textId="77777777" w:rsidR="008238E6" w:rsidRDefault="008238E6">
            <w:pPr>
              <w:spacing w:before="120" w:after="120"/>
              <w:jc w:val="center"/>
              <w:rPr>
                <w:color w:val="000000"/>
              </w:rPr>
            </w:pPr>
          </w:p>
        </w:tc>
        <w:tc>
          <w:tcPr>
            <w:tcW w:w="708" w:type="dxa"/>
            <w:shd w:val="clear" w:color="auto" w:fill="auto"/>
            <w:vAlign w:val="center"/>
          </w:tcPr>
          <w:p w14:paraId="4FB5F179" w14:textId="77777777" w:rsidR="008238E6" w:rsidRDefault="008238E6">
            <w:pPr>
              <w:spacing w:before="120" w:after="120"/>
              <w:jc w:val="center"/>
              <w:rPr>
                <w:color w:val="000000"/>
              </w:rPr>
            </w:pPr>
          </w:p>
        </w:tc>
        <w:tc>
          <w:tcPr>
            <w:tcW w:w="851" w:type="dxa"/>
            <w:shd w:val="clear" w:color="auto" w:fill="auto"/>
            <w:vAlign w:val="center"/>
          </w:tcPr>
          <w:p w14:paraId="4FB5F17A" w14:textId="77777777" w:rsidR="008238E6" w:rsidRDefault="00D61AB3">
            <w:pPr>
              <w:spacing w:before="120" w:after="120"/>
              <w:jc w:val="center"/>
              <w:rPr>
                <w:color w:val="000000"/>
              </w:rPr>
            </w:pPr>
            <w:r>
              <w:t>11</w:t>
            </w:r>
          </w:p>
        </w:tc>
      </w:tr>
    </w:tbl>
    <w:p w14:paraId="4FB5F17C" w14:textId="77777777" w:rsidR="008238E6" w:rsidRDefault="00D61AB3">
      <w:pPr>
        <w:spacing w:before="0" w:after="160" w:line="259" w:lineRule="auto"/>
        <w:jc w:val="left"/>
      </w:pPr>
      <w:r>
        <w:br w:type="page"/>
      </w:r>
    </w:p>
    <w:tbl>
      <w:tblPr>
        <w:tblStyle w:val="affffffffd"/>
        <w:tblW w:w="133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992"/>
        <w:gridCol w:w="5670"/>
        <w:gridCol w:w="993"/>
        <w:gridCol w:w="850"/>
        <w:gridCol w:w="851"/>
        <w:gridCol w:w="708"/>
        <w:gridCol w:w="851"/>
      </w:tblGrid>
      <w:tr w:rsidR="008238E6" w14:paraId="4FB5F185" w14:textId="77777777">
        <w:trPr>
          <w:trHeight w:val="762"/>
        </w:trPr>
        <w:tc>
          <w:tcPr>
            <w:tcW w:w="2479"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7D" w14:textId="77777777" w:rsidR="008238E6" w:rsidRDefault="00D61AB3">
            <w:pPr>
              <w:spacing w:before="120" w:after="120"/>
              <w:jc w:val="center"/>
              <w:rPr>
                <w:b/>
              </w:rPr>
            </w:pPr>
            <w:r>
              <w:rPr>
                <w:b/>
              </w:rPr>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7E" w14:textId="77777777" w:rsidR="008238E6" w:rsidRDefault="00D61AB3">
            <w:pPr>
              <w:spacing w:before="120" w:after="120"/>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7F" w14:textId="77777777" w:rsidR="008238E6" w:rsidRDefault="00D61AB3">
            <w:pPr>
              <w:spacing w:before="120" w:after="120"/>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80" w14:textId="77777777" w:rsidR="008238E6" w:rsidRDefault="00D61AB3">
            <w:pPr>
              <w:spacing w:before="120" w:after="120"/>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81" w14:textId="77777777" w:rsidR="008238E6" w:rsidRDefault="00D61AB3">
            <w:pPr>
              <w:spacing w:before="120" w:after="120"/>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82" w14:textId="77777777" w:rsidR="008238E6" w:rsidRDefault="00D61AB3">
            <w:pPr>
              <w:spacing w:before="120" w:after="120"/>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83" w14:textId="77777777" w:rsidR="008238E6" w:rsidRDefault="00D61AB3">
            <w:pPr>
              <w:spacing w:before="120" w:after="120"/>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84" w14:textId="77777777" w:rsidR="008238E6" w:rsidRDefault="00D61AB3">
            <w:pPr>
              <w:spacing w:before="120" w:after="120"/>
              <w:jc w:val="center"/>
              <w:rPr>
                <w:b/>
              </w:rPr>
            </w:pPr>
            <w:r>
              <w:rPr>
                <w:b/>
              </w:rPr>
              <w:t>Pág.nº</w:t>
            </w:r>
          </w:p>
        </w:tc>
      </w:tr>
      <w:tr w:rsidR="008238E6" w14:paraId="4FB5F187" w14:textId="77777777">
        <w:trPr>
          <w:trHeight w:val="525"/>
        </w:trPr>
        <w:tc>
          <w:tcPr>
            <w:tcW w:w="13394" w:type="dxa"/>
            <w:gridSpan w:val="8"/>
            <w:shd w:val="clear" w:color="auto" w:fill="D9E1F2"/>
            <w:vAlign w:val="center"/>
          </w:tcPr>
          <w:p w14:paraId="4FB5F186" w14:textId="77777777" w:rsidR="008238E6" w:rsidRDefault="00D61AB3">
            <w:pPr>
              <w:spacing w:before="120" w:after="120"/>
              <w:jc w:val="left"/>
              <w:rPr>
                <w:b/>
              </w:rPr>
            </w:pPr>
            <w:r>
              <w:rPr>
                <w:b/>
              </w:rPr>
              <w:t>Resultados</w:t>
            </w:r>
          </w:p>
        </w:tc>
      </w:tr>
      <w:tr w:rsidR="008238E6" w14:paraId="4FB5F190" w14:textId="77777777">
        <w:trPr>
          <w:trHeight w:val="762"/>
        </w:trPr>
        <w:tc>
          <w:tcPr>
            <w:tcW w:w="2479" w:type="dxa"/>
            <w:shd w:val="clear" w:color="auto" w:fill="auto"/>
            <w:vAlign w:val="center"/>
          </w:tcPr>
          <w:p w14:paraId="4FB5F188" w14:textId="77777777" w:rsidR="008238E6" w:rsidRDefault="00D61AB3">
            <w:pPr>
              <w:spacing w:before="120" w:after="120"/>
              <w:jc w:val="left"/>
              <w:rPr>
                <w:color w:val="000000"/>
              </w:rPr>
            </w:pPr>
            <w:r>
              <w:rPr>
                <w:color w:val="000000"/>
              </w:rPr>
              <w:t>Estimativa de custos e desfechos incrementais</w:t>
            </w:r>
          </w:p>
        </w:tc>
        <w:tc>
          <w:tcPr>
            <w:tcW w:w="992" w:type="dxa"/>
            <w:shd w:val="clear" w:color="auto" w:fill="auto"/>
            <w:vAlign w:val="center"/>
          </w:tcPr>
          <w:p w14:paraId="4FB5F189" w14:textId="77777777" w:rsidR="008238E6" w:rsidRDefault="00D61AB3">
            <w:pPr>
              <w:spacing w:before="120" w:after="120"/>
              <w:jc w:val="center"/>
              <w:rPr>
                <w:color w:val="000000"/>
              </w:rPr>
            </w:pPr>
            <w:r>
              <w:rPr>
                <w:color w:val="000000"/>
              </w:rPr>
              <w:t>19</w:t>
            </w:r>
          </w:p>
        </w:tc>
        <w:tc>
          <w:tcPr>
            <w:tcW w:w="5670" w:type="dxa"/>
            <w:shd w:val="clear" w:color="auto" w:fill="auto"/>
            <w:vAlign w:val="center"/>
          </w:tcPr>
          <w:p w14:paraId="4FB5F18A" w14:textId="77777777" w:rsidR="008238E6" w:rsidRDefault="00D61AB3">
            <w:pPr>
              <w:spacing w:before="120" w:after="120"/>
              <w:jc w:val="left"/>
              <w:rPr>
                <w:color w:val="000000"/>
              </w:rPr>
            </w:pPr>
            <w:r>
              <w:rPr>
                <w:color w:val="000000"/>
              </w:rPr>
              <w:t>Os valores estimados dos custos e dos desfechos de interesse são adequados e apresentados de forma clara, incluindo as razões de custo-efetividade incrementais.</w:t>
            </w:r>
          </w:p>
        </w:tc>
        <w:tc>
          <w:tcPr>
            <w:tcW w:w="993" w:type="dxa"/>
            <w:shd w:val="clear" w:color="auto" w:fill="auto"/>
            <w:vAlign w:val="center"/>
          </w:tcPr>
          <w:p w14:paraId="4FB5F18B" w14:textId="77777777" w:rsidR="008238E6" w:rsidRDefault="00D61AB3">
            <w:pPr>
              <w:spacing w:before="120" w:after="120"/>
              <w:jc w:val="center"/>
              <w:rPr>
                <w:color w:val="000000"/>
              </w:rPr>
            </w:pPr>
            <w:r>
              <w:t>X</w:t>
            </w:r>
          </w:p>
        </w:tc>
        <w:tc>
          <w:tcPr>
            <w:tcW w:w="850" w:type="dxa"/>
            <w:shd w:val="clear" w:color="auto" w:fill="auto"/>
            <w:vAlign w:val="center"/>
          </w:tcPr>
          <w:p w14:paraId="4FB5F18C" w14:textId="77777777" w:rsidR="008238E6" w:rsidRDefault="008238E6">
            <w:pPr>
              <w:spacing w:before="120" w:after="120"/>
              <w:jc w:val="center"/>
              <w:rPr>
                <w:color w:val="000000"/>
              </w:rPr>
            </w:pPr>
          </w:p>
        </w:tc>
        <w:tc>
          <w:tcPr>
            <w:tcW w:w="851" w:type="dxa"/>
            <w:shd w:val="clear" w:color="auto" w:fill="auto"/>
            <w:vAlign w:val="center"/>
          </w:tcPr>
          <w:p w14:paraId="4FB5F18D" w14:textId="77777777" w:rsidR="008238E6" w:rsidRDefault="008238E6">
            <w:pPr>
              <w:spacing w:before="120" w:after="120"/>
              <w:jc w:val="center"/>
              <w:rPr>
                <w:color w:val="000000"/>
                <w:sz w:val="20"/>
                <w:szCs w:val="20"/>
              </w:rPr>
            </w:pPr>
          </w:p>
        </w:tc>
        <w:tc>
          <w:tcPr>
            <w:tcW w:w="708" w:type="dxa"/>
            <w:shd w:val="clear" w:color="auto" w:fill="auto"/>
            <w:vAlign w:val="center"/>
          </w:tcPr>
          <w:p w14:paraId="4FB5F18E" w14:textId="77777777" w:rsidR="008238E6" w:rsidRDefault="008238E6">
            <w:pPr>
              <w:spacing w:before="120" w:after="120"/>
              <w:jc w:val="center"/>
              <w:rPr>
                <w:color w:val="000000"/>
              </w:rPr>
            </w:pPr>
          </w:p>
        </w:tc>
        <w:tc>
          <w:tcPr>
            <w:tcW w:w="851" w:type="dxa"/>
            <w:shd w:val="clear" w:color="auto" w:fill="auto"/>
            <w:vAlign w:val="center"/>
          </w:tcPr>
          <w:p w14:paraId="4FB5F18F" w14:textId="77777777" w:rsidR="008238E6" w:rsidRDefault="00D61AB3">
            <w:pPr>
              <w:spacing w:before="120" w:after="120"/>
              <w:jc w:val="center"/>
              <w:rPr>
                <w:color w:val="000000"/>
              </w:rPr>
            </w:pPr>
            <w:r>
              <w:t>15</w:t>
            </w:r>
          </w:p>
        </w:tc>
      </w:tr>
      <w:tr w:rsidR="008238E6" w14:paraId="4FB5F199" w14:textId="77777777">
        <w:trPr>
          <w:trHeight w:val="799"/>
        </w:trPr>
        <w:tc>
          <w:tcPr>
            <w:tcW w:w="2479" w:type="dxa"/>
            <w:shd w:val="clear" w:color="auto" w:fill="auto"/>
            <w:vAlign w:val="center"/>
          </w:tcPr>
          <w:p w14:paraId="4FB5F191" w14:textId="77777777" w:rsidR="008238E6" w:rsidRDefault="00D61AB3">
            <w:pPr>
              <w:spacing w:before="120" w:after="120"/>
              <w:jc w:val="left"/>
              <w:rPr>
                <w:color w:val="000000"/>
              </w:rPr>
            </w:pPr>
            <w:r>
              <w:rPr>
                <w:color w:val="000000"/>
              </w:rPr>
              <w:t>Análise de sensibilidade</w:t>
            </w:r>
          </w:p>
        </w:tc>
        <w:tc>
          <w:tcPr>
            <w:tcW w:w="992" w:type="dxa"/>
            <w:shd w:val="clear" w:color="auto" w:fill="auto"/>
            <w:vAlign w:val="center"/>
          </w:tcPr>
          <w:p w14:paraId="4FB5F192" w14:textId="77777777" w:rsidR="008238E6" w:rsidRDefault="00D61AB3">
            <w:pPr>
              <w:spacing w:before="120" w:after="120"/>
              <w:jc w:val="center"/>
              <w:rPr>
                <w:color w:val="000000"/>
              </w:rPr>
            </w:pPr>
            <w:r>
              <w:rPr>
                <w:color w:val="000000"/>
              </w:rPr>
              <w:t>20</w:t>
            </w:r>
          </w:p>
        </w:tc>
        <w:tc>
          <w:tcPr>
            <w:tcW w:w="5670" w:type="dxa"/>
            <w:shd w:val="clear" w:color="auto" w:fill="auto"/>
            <w:vAlign w:val="center"/>
          </w:tcPr>
          <w:p w14:paraId="4FB5F193" w14:textId="77777777" w:rsidR="008238E6" w:rsidRDefault="00D61AB3">
            <w:pPr>
              <w:spacing w:before="120" w:after="120"/>
              <w:jc w:val="left"/>
              <w:rPr>
                <w:color w:val="000000"/>
              </w:rPr>
            </w:pPr>
            <w:r>
              <w:rPr>
                <w:color w:val="000000"/>
              </w:rPr>
              <w:t>A análise de sensibilidade é apresentada de forma clara e considera todos os parâmetros relevantes, tais como população-alvo, custo de tecnologias, ocorrência de eventos relevantes (eventos adversos e tempo/custo hospitalização).</w:t>
            </w:r>
          </w:p>
        </w:tc>
        <w:tc>
          <w:tcPr>
            <w:tcW w:w="993" w:type="dxa"/>
            <w:shd w:val="clear" w:color="auto" w:fill="auto"/>
            <w:vAlign w:val="center"/>
          </w:tcPr>
          <w:p w14:paraId="4FB5F194" w14:textId="77777777" w:rsidR="008238E6" w:rsidRDefault="00D61AB3">
            <w:pPr>
              <w:spacing w:before="120" w:after="120"/>
              <w:jc w:val="center"/>
              <w:rPr>
                <w:color w:val="000000"/>
              </w:rPr>
            </w:pPr>
            <w:r>
              <w:t>X</w:t>
            </w:r>
          </w:p>
        </w:tc>
        <w:tc>
          <w:tcPr>
            <w:tcW w:w="850" w:type="dxa"/>
            <w:shd w:val="clear" w:color="auto" w:fill="auto"/>
            <w:vAlign w:val="center"/>
          </w:tcPr>
          <w:p w14:paraId="4FB5F195" w14:textId="77777777" w:rsidR="008238E6" w:rsidRDefault="008238E6">
            <w:pPr>
              <w:spacing w:before="120" w:after="120"/>
              <w:jc w:val="center"/>
              <w:rPr>
                <w:color w:val="000000"/>
              </w:rPr>
            </w:pPr>
          </w:p>
        </w:tc>
        <w:tc>
          <w:tcPr>
            <w:tcW w:w="851" w:type="dxa"/>
            <w:shd w:val="clear" w:color="auto" w:fill="auto"/>
            <w:vAlign w:val="center"/>
          </w:tcPr>
          <w:p w14:paraId="4FB5F196" w14:textId="77777777" w:rsidR="008238E6" w:rsidRDefault="008238E6">
            <w:pPr>
              <w:spacing w:before="120" w:after="120"/>
              <w:jc w:val="center"/>
              <w:rPr>
                <w:color w:val="000000"/>
              </w:rPr>
            </w:pPr>
          </w:p>
        </w:tc>
        <w:tc>
          <w:tcPr>
            <w:tcW w:w="708" w:type="dxa"/>
            <w:shd w:val="clear" w:color="auto" w:fill="auto"/>
            <w:vAlign w:val="center"/>
          </w:tcPr>
          <w:p w14:paraId="4FB5F197" w14:textId="77777777" w:rsidR="008238E6" w:rsidRDefault="008238E6">
            <w:pPr>
              <w:spacing w:before="120" w:after="120"/>
              <w:jc w:val="center"/>
              <w:rPr>
                <w:color w:val="000000"/>
              </w:rPr>
            </w:pPr>
          </w:p>
        </w:tc>
        <w:tc>
          <w:tcPr>
            <w:tcW w:w="851" w:type="dxa"/>
            <w:shd w:val="clear" w:color="auto" w:fill="auto"/>
            <w:vAlign w:val="center"/>
          </w:tcPr>
          <w:p w14:paraId="4FB5F198" w14:textId="77777777" w:rsidR="008238E6" w:rsidRDefault="00D61AB3">
            <w:pPr>
              <w:spacing w:before="120" w:after="120"/>
              <w:jc w:val="center"/>
              <w:rPr>
                <w:color w:val="000000"/>
              </w:rPr>
            </w:pPr>
            <w:r>
              <w:t>15</w:t>
            </w:r>
          </w:p>
        </w:tc>
      </w:tr>
      <w:tr w:rsidR="008238E6" w14:paraId="4FB5F1A2" w14:textId="77777777">
        <w:trPr>
          <w:trHeight w:val="799"/>
        </w:trPr>
        <w:tc>
          <w:tcPr>
            <w:tcW w:w="2479" w:type="dxa"/>
            <w:shd w:val="clear" w:color="auto" w:fill="auto"/>
            <w:vAlign w:val="center"/>
          </w:tcPr>
          <w:p w14:paraId="4FB5F19A" w14:textId="77777777" w:rsidR="008238E6" w:rsidRDefault="00D61AB3">
            <w:pPr>
              <w:spacing w:before="120" w:after="120"/>
              <w:jc w:val="left"/>
              <w:rPr>
                <w:color w:val="000000"/>
              </w:rPr>
            </w:pPr>
            <w:r>
              <w:rPr>
                <w:color w:val="000000"/>
              </w:rPr>
              <w:t>Caracterização da incerteza</w:t>
            </w:r>
          </w:p>
        </w:tc>
        <w:tc>
          <w:tcPr>
            <w:tcW w:w="992" w:type="dxa"/>
            <w:shd w:val="clear" w:color="auto" w:fill="auto"/>
            <w:vAlign w:val="center"/>
          </w:tcPr>
          <w:p w14:paraId="4FB5F19B" w14:textId="77777777" w:rsidR="008238E6" w:rsidRDefault="00D61AB3">
            <w:pPr>
              <w:spacing w:before="120" w:after="120"/>
              <w:jc w:val="center"/>
              <w:rPr>
                <w:color w:val="000000"/>
              </w:rPr>
            </w:pPr>
            <w:r>
              <w:rPr>
                <w:color w:val="000000"/>
              </w:rPr>
              <w:t>21</w:t>
            </w:r>
          </w:p>
        </w:tc>
        <w:tc>
          <w:tcPr>
            <w:tcW w:w="5670" w:type="dxa"/>
            <w:shd w:val="clear" w:color="auto" w:fill="auto"/>
            <w:vAlign w:val="center"/>
          </w:tcPr>
          <w:p w14:paraId="4FB5F19C" w14:textId="77777777" w:rsidR="008238E6" w:rsidRDefault="00D61AB3">
            <w:pPr>
              <w:spacing w:before="120" w:after="120"/>
              <w:jc w:val="left"/>
              <w:rPr>
                <w:color w:val="000000"/>
              </w:rPr>
            </w:pPr>
            <w:r>
              <w:rPr>
                <w:color w:val="000000"/>
              </w:rPr>
              <w:t>Os efeitos das incertezas para as estimativas são apresentados de forma clara, sendo utilizados elementos gráficos adequados, tais como diagrama de tornado e curva de aceitabilidade.</w:t>
            </w:r>
          </w:p>
        </w:tc>
        <w:tc>
          <w:tcPr>
            <w:tcW w:w="993" w:type="dxa"/>
            <w:shd w:val="clear" w:color="auto" w:fill="auto"/>
            <w:vAlign w:val="center"/>
          </w:tcPr>
          <w:p w14:paraId="4FB5F19D" w14:textId="77777777" w:rsidR="008238E6" w:rsidRDefault="00D61AB3">
            <w:pPr>
              <w:spacing w:before="120" w:after="120"/>
              <w:jc w:val="center"/>
              <w:rPr>
                <w:color w:val="000000"/>
              </w:rPr>
            </w:pPr>
            <w:r>
              <w:t>X</w:t>
            </w:r>
          </w:p>
        </w:tc>
        <w:tc>
          <w:tcPr>
            <w:tcW w:w="850" w:type="dxa"/>
            <w:shd w:val="clear" w:color="auto" w:fill="auto"/>
            <w:vAlign w:val="center"/>
          </w:tcPr>
          <w:p w14:paraId="4FB5F19E" w14:textId="77777777" w:rsidR="008238E6" w:rsidRDefault="008238E6">
            <w:pPr>
              <w:spacing w:before="120" w:after="120"/>
              <w:jc w:val="center"/>
              <w:rPr>
                <w:color w:val="000000"/>
              </w:rPr>
            </w:pPr>
          </w:p>
        </w:tc>
        <w:tc>
          <w:tcPr>
            <w:tcW w:w="851" w:type="dxa"/>
            <w:shd w:val="clear" w:color="auto" w:fill="auto"/>
            <w:vAlign w:val="center"/>
          </w:tcPr>
          <w:p w14:paraId="4FB5F19F" w14:textId="77777777" w:rsidR="008238E6" w:rsidRDefault="008238E6">
            <w:pPr>
              <w:spacing w:before="120" w:after="120"/>
              <w:jc w:val="center"/>
              <w:rPr>
                <w:color w:val="000000"/>
              </w:rPr>
            </w:pPr>
          </w:p>
        </w:tc>
        <w:tc>
          <w:tcPr>
            <w:tcW w:w="708" w:type="dxa"/>
            <w:shd w:val="clear" w:color="auto" w:fill="auto"/>
            <w:vAlign w:val="center"/>
          </w:tcPr>
          <w:p w14:paraId="4FB5F1A0" w14:textId="77777777" w:rsidR="008238E6" w:rsidRDefault="008238E6">
            <w:pPr>
              <w:spacing w:before="120" w:after="120"/>
              <w:jc w:val="center"/>
              <w:rPr>
                <w:color w:val="000000"/>
              </w:rPr>
            </w:pPr>
          </w:p>
        </w:tc>
        <w:tc>
          <w:tcPr>
            <w:tcW w:w="851" w:type="dxa"/>
            <w:shd w:val="clear" w:color="auto" w:fill="auto"/>
            <w:vAlign w:val="center"/>
          </w:tcPr>
          <w:p w14:paraId="4FB5F1A1" w14:textId="77777777" w:rsidR="008238E6" w:rsidRDefault="00D61AB3">
            <w:pPr>
              <w:spacing w:before="120" w:after="120"/>
              <w:jc w:val="center"/>
              <w:rPr>
                <w:color w:val="000000"/>
              </w:rPr>
            </w:pPr>
            <w:r>
              <w:t>15</w:t>
            </w:r>
          </w:p>
        </w:tc>
      </w:tr>
      <w:tr w:rsidR="008238E6" w14:paraId="4FB5F1A4" w14:textId="77777777">
        <w:trPr>
          <w:trHeight w:val="525"/>
        </w:trPr>
        <w:tc>
          <w:tcPr>
            <w:tcW w:w="13394" w:type="dxa"/>
            <w:gridSpan w:val="8"/>
            <w:shd w:val="clear" w:color="auto" w:fill="D9E1F2"/>
            <w:vAlign w:val="center"/>
          </w:tcPr>
          <w:p w14:paraId="4FB5F1A3" w14:textId="77777777" w:rsidR="008238E6" w:rsidRDefault="00D61AB3">
            <w:pPr>
              <w:spacing w:before="120" w:after="120"/>
              <w:jc w:val="left"/>
              <w:rPr>
                <w:b/>
              </w:rPr>
            </w:pPr>
            <w:r>
              <w:rPr>
                <w:b/>
              </w:rPr>
              <w:t>Considerações finais</w:t>
            </w:r>
          </w:p>
        </w:tc>
      </w:tr>
      <w:tr w:rsidR="008238E6" w14:paraId="4FB5F1AD" w14:textId="77777777">
        <w:trPr>
          <w:trHeight w:val="762"/>
        </w:trPr>
        <w:tc>
          <w:tcPr>
            <w:tcW w:w="2479" w:type="dxa"/>
            <w:shd w:val="clear" w:color="auto" w:fill="auto"/>
            <w:vAlign w:val="center"/>
          </w:tcPr>
          <w:p w14:paraId="4FB5F1A5" w14:textId="77777777" w:rsidR="008238E6" w:rsidRDefault="00D61AB3">
            <w:pPr>
              <w:spacing w:before="120" w:after="120"/>
              <w:jc w:val="left"/>
              <w:rPr>
                <w:color w:val="000000"/>
              </w:rPr>
            </w:pPr>
            <w:r>
              <w:rPr>
                <w:color w:val="000000"/>
              </w:rPr>
              <w:t>Discussão</w:t>
            </w:r>
          </w:p>
        </w:tc>
        <w:tc>
          <w:tcPr>
            <w:tcW w:w="992" w:type="dxa"/>
            <w:shd w:val="clear" w:color="auto" w:fill="auto"/>
            <w:vAlign w:val="center"/>
          </w:tcPr>
          <w:p w14:paraId="4FB5F1A6" w14:textId="77777777" w:rsidR="008238E6" w:rsidRDefault="00D61AB3">
            <w:pPr>
              <w:spacing w:before="120" w:after="120"/>
              <w:jc w:val="center"/>
              <w:rPr>
                <w:color w:val="000000"/>
              </w:rPr>
            </w:pPr>
            <w:r>
              <w:rPr>
                <w:color w:val="000000"/>
              </w:rPr>
              <w:t>22</w:t>
            </w:r>
          </w:p>
        </w:tc>
        <w:tc>
          <w:tcPr>
            <w:tcW w:w="5670" w:type="dxa"/>
            <w:shd w:val="clear" w:color="auto" w:fill="auto"/>
            <w:vAlign w:val="center"/>
          </w:tcPr>
          <w:p w14:paraId="4FB5F1A7" w14:textId="77777777" w:rsidR="008238E6" w:rsidRDefault="00D61AB3">
            <w:pPr>
              <w:spacing w:before="120" w:after="120"/>
              <w:jc w:val="left"/>
              <w:rPr>
                <w:color w:val="000000"/>
              </w:rPr>
            </w:pPr>
            <w:r>
              <w:rPr>
                <w:color w:val="000000"/>
              </w:rPr>
              <w:t>São apresentadas considerações sobre as limitações do estudo, a aplicabilidade da análise e a generalização dos achados.</w:t>
            </w:r>
          </w:p>
        </w:tc>
        <w:tc>
          <w:tcPr>
            <w:tcW w:w="993" w:type="dxa"/>
            <w:shd w:val="clear" w:color="auto" w:fill="auto"/>
            <w:vAlign w:val="center"/>
          </w:tcPr>
          <w:p w14:paraId="4FB5F1A8" w14:textId="77777777" w:rsidR="008238E6" w:rsidRDefault="008238E6">
            <w:pPr>
              <w:spacing w:before="120" w:after="120"/>
              <w:jc w:val="center"/>
              <w:rPr>
                <w:color w:val="000000"/>
              </w:rPr>
            </w:pPr>
          </w:p>
        </w:tc>
        <w:tc>
          <w:tcPr>
            <w:tcW w:w="850" w:type="dxa"/>
            <w:shd w:val="clear" w:color="auto" w:fill="auto"/>
            <w:vAlign w:val="center"/>
          </w:tcPr>
          <w:p w14:paraId="4FB5F1A9" w14:textId="77777777" w:rsidR="008238E6" w:rsidRDefault="008238E6">
            <w:pPr>
              <w:spacing w:before="120" w:after="120"/>
              <w:jc w:val="center"/>
              <w:rPr>
                <w:color w:val="000000"/>
              </w:rPr>
            </w:pPr>
          </w:p>
        </w:tc>
        <w:tc>
          <w:tcPr>
            <w:tcW w:w="851" w:type="dxa"/>
            <w:shd w:val="clear" w:color="auto" w:fill="auto"/>
            <w:vAlign w:val="center"/>
          </w:tcPr>
          <w:p w14:paraId="4FB5F1AA" w14:textId="77777777" w:rsidR="008238E6" w:rsidRDefault="00D61AB3">
            <w:pPr>
              <w:spacing w:before="120" w:after="120"/>
              <w:jc w:val="center"/>
              <w:rPr>
                <w:color w:val="000000"/>
              </w:rPr>
            </w:pPr>
            <w:r>
              <w:t>X</w:t>
            </w:r>
          </w:p>
        </w:tc>
        <w:tc>
          <w:tcPr>
            <w:tcW w:w="708" w:type="dxa"/>
            <w:shd w:val="clear" w:color="auto" w:fill="auto"/>
            <w:vAlign w:val="center"/>
          </w:tcPr>
          <w:p w14:paraId="4FB5F1AB" w14:textId="77777777" w:rsidR="008238E6" w:rsidRDefault="008238E6">
            <w:pPr>
              <w:spacing w:before="120" w:after="120"/>
              <w:jc w:val="center"/>
              <w:rPr>
                <w:color w:val="000000"/>
              </w:rPr>
            </w:pPr>
          </w:p>
        </w:tc>
        <w:tc>
          <w:tcPr>
            <w:tcW w:w="851" w:type="dxa"/>
            <w:shd w:val="clear" w:color="auto" w:fill="auto"/>
            <w:vAlign w:val="center"/>
          </w:tcPr>
          <w:p w14:paraId="4FB5F1AC" w14:textId="77777777" w:rsidR="008238E6" w:rsidRDefault="00D61AB3">
            <w:pPr>
              <w:spacing w:before="120" w:after="120"/>
              <w:jc w:val="center"/>
              <w:rPr>
                <w:color w:val="000000"/>
              </w:rPr>
            </w:pPr>
            <w:r>
              <w:t>17</w:t>
            </w:r>
          </w:p>
        </w:tc>
      </w:tr>
      <w:tr w:rsidR="008238E6" w14:paraId="4FB5F1B6" w14:textId="77777777">
        <w:trPr>
          <w:trHeight w:val="762"/>
        </w:trPr>
        <w:tc>
          <w:tcPr>
            <w:tcW w:w="2479" w:type="dxa"/>
            <w:shd w:val="clear" w:color="auto" w:fill="auto"/>
            <w:vAlign w:val="center"/>
          </w:tcPr>
          <w:p w14:paraId="4FB5F1AE" w14:textId="77777777" w:rsidR="008238E6" w:rsidRDefault="00D61AB3">
            <w:pPr>
              <w:spacing w:before="120" w:after="120"/>
              <w:jc w:val="left"/>
              <w:rPr>
                <w:color w:val="000000"/>
              </w:rPr>
            </w:pPr>
            <w:r>
              <w:rPr>
                <w:color w:val="000000"/>
              </w:rPr>
              <w:t>Conclusão</w:t>
            </w:r>
          </w:p>
        </w:tc>
        <w:tc>
          <w:tcPr>
            <w:tcW w:w="992" w:type="dxa"/>
            <w:shd w:val="clear" w:color="auto" w:fill="auto"/>
            <w:vAlign w:val="center"/>
          </w:tcPr>
          <w:p w14:paraId="4FB5F1AF" w14:textId="77777777" w:rsidR="008238E6" w:rsidRDefault="00D61AB3">
            <w:pPr>
              <w:spacing w:before="120" w:after="120"/>
              <w:jc w:val="center"/>
              <w:rPr>
                <w:color w:val="000000"/>
              </w:rPr>
            </w:pPr>
            <w:r>
              <w:rPr>
                <w:color w:val="000000"/>
              </w:rPr>
              <w:t>23</w:t>
            </w:r>
          </w:p>
        </w:tc>
        <w:tc>
          <w:tcPr>
            <w:tcW w:w="5670" w:type="dxa"/>
            <w:shd w:val="clear" w:color="auto" w:fill="auto"/>
            <w:vAlign w:val="center"/>
          </w:tcPr>
          <w:p w14:paraId="4FB5F1B0" w14:textId="77777777" w:rsidR="008238E6" w:rsidRDefault="00D61AB3">
            <w:pPr>
              <w:spacing w:before="120" w:after="120"/>
              <w:jc w:val="left"/>
              <w:rPr>
                <w:color w:val="000000"/>
              </w:rPr>
            </w:pPr>
            <w:r>
              <w:rPr>
                <w:color w:val="000000"/>
              </w:rPr>
              <w:t>A conclusão geral da análise reflete adequadamente os achados e apresenta recomendação quanto à incorporação da tecnologia.</w:t>
            </w:r>
          </w:p>
        </w:tc>
        <w:tc>
          <w:tcPr>
            <w:tcW w:w="993" w:type="dxa"/>
            <w:shd w:val="clear" w:color="auto" w:fill="auto"/>
            <w:vAlign w:val="center"/>
          </w:tcPr>
          <w:p w14:paraId="4FB5F1B1" w14:textId="77777777" w:rsidR="008238E6" w:rsidRDefault="008238E6">
            <w:pPr>
              <w:spacing w:before="120" w:after="120"/>
              <w:jc w:val="center"/>
              <w:rPr>
                <w:color w:val="000000"/>
              </w:rPr>
            </w:pPr>
          </w:p>
        </w:tc>
        <w:tc>
          <w:tcPr>
            <w:tcW w:w="850" w:type="dxa"/>
            <w:shd w:val="clear" w:color="auto" w:fill="auto"/>
            <w:vAlign w:val="center"/>
          </w:tcPr>
          <w:p w14:paraId="4FB5F1B2" w14:textId="77777777" w:rsidR="008238E6" w:rsidRDefault="008238E6">
            <w:pPr>
              <w:spacing w:before="120" w:after="120"/>
              <w:jc w:val="center"/>
              <w:rPr>
                <w:color w:val="000000"/>
              </w:rPr>
            </w:pPr>
          </w:p>
        </w:tc>
        <w:tc>
          <w:tcPr>
            <w:tcW w:w="851" w:type="dxa"/>
            <w:shd w:val="clear" w:color="auto" w:fill="auto"/>
            <w:vAlign w:val="center"/>
          </w:tcPr>
          <w:p w14:paraId="4FB5F1B3" w14:textId="77777777" w:rsidR="008238E6" w:rsidRDefault="00D61AB3">
            <w:pPr>
              <w:spacing w:before="120" w:after="120"/>
              <w:jc w:val="center"/>
              <w:rPr>
                <w:color w:val="000000"/>
              </w:rPr>
            </w:pPr>
            <w:r>
              <w:t>X</w:t>
            </w:r>
          </w:p>
        </w:tc>
        <w:tc>
          <w:tcPr>
            <w:tcW w:w="708" w:type="dxa"/>
            <w:shd w:val="clear" w:color="auto" w:fill="auto"/>
            <w:vAlign w:val="center"/>
          </w:tcPr>
          <w:p w14:paraId="4FB5F1B4" w14:textId="77777777" w:rsidR="008238E6" w:rsidRDefault="008238E6">
            <w:pPr>
              <w:spacing w:before="120" w:after="120"/>
              <w:jc w:val="center"/>
              <w:rPr>
                <w:color w:val="000000"/>
              </w:rPr>
            </w:pPr>
          </w:p>
        </w:tc>
        <w:tc>
          <w:tcPr>
            <w:tcW w:w="851" w:type="dxa"/>
            <w:shd w:val="clear" w:color="auto" w:fill="auto"/>
            <w:vAlign w:val="center"/>
          </w:tcPr>
          <w:p w14:paraId="4FB5F1B5" w14:textId="77777777" w:rsidR="008238E6" w:rsidRDefault="00D61AB3">
            <w:pPr>
              <w:spacing w:before="120" w:after="120"/>
              <w:jc w:val="center"/>
              <w:rPr>
                <w:color w:val="000000"/>
              </w:rPr>
            </w:pPr>
            <w:r>
              <w:t>17</w:t>
            </w:r>
          </w:p>
        </w:tc>
      </w:tr>
    </w:tbl>
    <w:p w14:paraId="4FB5F1B7" w14:textId="77777777" w:rsidR="008238E6" w:rsidRDefault="00D61AB3">
      <w:pPr>
        <w:spacing w:before="0" w:after="160" w:line="259" w:lineRule="auto"/>
        <w:jc w:val="left"/>
      </w:pPr>
      <w:r>
        <w:br w:type="page"/>
      </w:r>
    </w:p>
    <w:tbl>
      <w:tblPr>
        <w:tblStyle w:val="affffffffe"/>
        <w:tblW w:w="133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992"/>
        <w:gridCol w:w="5670"/>
        <w:gridCol w:w="993"/>
        <w:gridCol w:w="850"/>
        <w:gridCol w:w="851"/>
        <w:gridCol w:w="708"/>
        <w:gridCol w:w="851"/>
      </w:tblGrid>
      <w:tr w:rsidR="008238E6" w14:paraId="4FB5F1C0" w14:textId="77777777">
        <w:trPr>
          <w:trHeight w:val="762"/>
        </w:trPr>
        <w:tc>
          <w:tcPr>
            <w:tcW w:w="2479"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8" w14:textId="77777777" w:rsidR="008238E6" w:rsidRDefault="00D61AB3">
            <w:pPr>
              <w:spacing w:before="120" w:after="120"/>
              <w:jc w:val="center"/>
              <w:rPr>
                <w:b/>
              </w:rPr>
            </w:pPr>
            <w:r>
              <w:rPr>
                <w:b/>
              </w:rPr>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9" w14:textId="77777777" w:rsidR="008238E6" w:rsidRDefault="00D61AB3">
            <w:pPr>
              <w:spacing w:before="120" w:after="120"/>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A" w14:textId="77777777" w:rsidR="008238E6" w:rsidRDefault="00D61AB3">
            <w:pPr>
              <w:spacing w:before="120" w:after="120"/>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B" w14:textId="77777777" w:rsidR="008238E6" w:rsidRDefault="00D61AB3">
            <w:pPr>
              <w:spacing w:before="120" w:after="120"/>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C" w14:textId="77777777" w:rsidR="008238E6" w:rsidRDefault="00D61AB3">
            <w:pPr>
              <w:spacing w:before="120" w:after="120"/>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D" w14:textId="77777777" w:rsidR="008238E6" w:rsidRDefault="00D61AB3">
            <w:pPr>
              <w:spacing w:before="120" w:after="120"/>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E" w14:textId="77777777" w:rsidR="008238E6" w:rsidRDefault="00D61AB3">
            <w:pPr>
              <w:spacing w:before="120" w:after="120"/>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FB5F1BF" w14:textId="77777777" w:rsidR="008238E6" w:rsidRDefault="00D61AB3">
            <w:pPr>
              <w:spacing w:before="120" w:after="120"/>
              <w:jc w:val="center"/>
              <w:rPr>
                <w:b/>
              </w:rPr>
            </w:pPr>
            <w:r>
              <w:rPr>
                <w:b/>
              </w:rPr>
              <w:t>Pág.nº</w:t>
            </w:r>
          </w:p>
        </w:tc>
      </w:tr>
      <w:tr w:rsidR="008238E6" w14:paraId="4FB5F1C2" w14:textId="77777777">
        <w:trPr>
          <w:trHeight w:val="525"/>
        </w:trPr>
        <w:tc>
          <w:tcPr>
            <w:tcW w:w="13394" w:type="dxa"/>
            <w:gridSpan w:val="8"/>
            <w:shd w:val="clear" w:color="auto" w:fill="D9E1F2"/>
            <w:vAlign w:val="center"/>
          </w:tcPr>
          <w:p w14:paraId="4FB5F1C1" w14:textId="77777777" w:rsidR="008238E6" w:rsidRDefault="00D61AB3">
            <w:pPr>
              <w:spacing w:before="120" w:after="120"/>
              <w:jc w:val="left"/>
              <w:rPr>
                <w:b/>
              </w:rPr>
            </w:pPr>
            <w:r>
              <w:rPr>
                <w:b/>
              </w:rPr>
              <w:t>Outros</w:t>
            </w:r>
          </w:p>
        </w:tc>
      </w:tr>
      <w:tr w:rsidR="008238E6" w14:paraId="4FB5F1CB" w14:textId="77777777">
        <w:trPr>
          <w:trHeight w:val="762"/>
        </w:trPr>
        <w:tc>
          <w:tcPr>
            <w:tcW w:w="2479" w:type="dxa"/>
            <w:shd w:val="clear" w:color="auto" w:fill="auto"/>
            <w:vAlign w:val="center"/>
          </w:tcPr>
          <w:p w14:paraId="4FB5F1C3" w14:textId="77777777" w:rsidR="008238E6" w:rsidRDefault="00D61AB3">
            <w:pPr>
              <w:spacing w:before="120" w:after="120"/>
              <w:jc w:val="left"/>
              <w:rPr>
                <w:color w:val="000000"/>
              </w:rPr>
            </w:pPr>
            <w:r>
              <w:rPr>
                <w:color w:val="000000"/>
              </w:rPr>
              <w:t>Conflito de interesse</w:t>
            </w:r>
          </w:p>
        </w:tc>
        <w:tc>
          <w:tcPr>
            <w:tcW w:w="992" w:type="dxa"/>
            <w:shd w:val="clear" w:color="auto" w:fill="auto"/>
            <w:vAlign w:val="center"/>
          </w:tcPr>
          <w:p w14:paraId="4FB5F1C4" w14:textId="77777777" w:rsidR="008238E6" w:rsidRDefault="00D61AB3">
            <w:pPr>
              <w:spacing w:before="120" w:after="120"/>
              <w:jc w:val="center"/>
              <w:rPr>
                <w:color w:val="000000"/>
              </w:rPr>
            </w:pPr>
            <w:r>
              <w:rPr>
                <w:color w:val="000000"/>
              </w:rPr>
              <w:t>24</w:t>
            </w:r>
          </w:p>
        </w:tc>
        <w:tc>
          <w:tcPr>
            <w:tcW w:w="5670" w:type="dxa"/>
            <w:shd w:val="clear" w:color="auto" w:fill="auto"/>
            <w:vAlign w:val="center"/>
          </w:tcPr>
          <w:p w14:paraId="4FB5F1C5" w14:textId="77777777" w:rsidR="008238E6" w:rsidRDefault="00D61AB3">
            <w:pPr>
              <w:spacing w:before="120" w:after="120"/>
              <w:jc w:val="left"/>
              <w:rPr>
                <w:color w:val="000000"/>
              </w:rPr>
            </w:pPr>
            <w:r>
              <w:rPr>
                <w:color w:val="000000"/>
              </w:rPr>
              <w:t>Declara qualquer potencial para conflito de interesse dos autores do estudo.</w:t>
            </w:r>
          </w:p>
        </w:tc>
        <w:tc>
          <w:tcPr>
            <w:tcW w:w="993" w:type="dxa"/>
            <w:shd w:val="clear" w:color="auto" w:fill="auto"/>
            <w:vAlign w:val="center"/>
          </w:tcPr>
          <w:p w14:paraId="4FB5F1C6" w14:textId="77777777" w:rsidR="008238E6" w:rsidRDefault="008238E6">
            <w:pPr>
              <w:spacing w:before="120" w:after="120"/>
              <w:jc w:val="center"/>
              <w:rPr>
                <w:color w:val="000000"/>
              </w:rPr>
            </w:pPr>
          </w:p>
        </w:tc>
        <w:tc>
          <w:tcPr>
            <w:tcW w:w="850" w:type="dxa"/>
            <w:shd w:val="clear" w:color="auto" w:fill="auto"/>
            <w:vAlign w:val="center"/>
          </w:tcPr>
          <w:p w14:paraId="4FB5F1C7" w14:textId="77777777" w:rsidR="008238E6" w:rsidRDefault="008238E6">
            <w:pPr>
              <w:spacing w:before="120" w:after="120"/>
              <w:jc w:val="center"/>
              <w:rPr>
                <w:color w:val="000000"/>
              </w:rPr>
            </w:pPr>
          </w:p>
        </w:tc>
        <w:tc>
          <w:tcPr>
            <w:tcW w:w="851" w:type="dxa"/>
            <w:shd w:val="clear" w:color="auto" w:fill="auto"/>
            <w:vAlign w:val="center"/>
          </w:tcPr>
          <w:p w14:paraId="4FB5F1C8" w14:textId="77777777" w:rsidR="008238E6" w:rsidRDefault="008238E6">
            <w:pPr>
              <w:spacing w:before="120" w:after="120"/>
              <w:jc w:val="center"/>
              <w:rPr>
                <w:color w:val="000000"/>
              </w:rPr>
            </w:pPr>
          </w:p>
        </w:tc>
        <w:tc>
          <w:tcPr>
            <w:tcW w:w="708" w:type="dxa"/>
            <w:shd w:val="clear" w:color="auto" w:fill="auto"/>
            <w:vAlign w:val="center"/>
          </w:tcPr>
          <w:p w14:paraId="4FB5F1C9" w14:textId="77777777" w:rsidR="008238E6" w:rsidRDefault="00D61AB3">
            <w:pPr>
              <w:spacing w:before="120" w:after="120"/>
              <w:jc w:val="center"/>
              <w:rPr>
                <w:color w:val="000000"/>
              </w:rPr>
            </w:pPr>
            <w:r>
              <w:rPr>
                <w:color w:val="000000"/>
              </w:rPr>
              <w:t>x</w:t>
            </w:r>
          </w:p>
        </w:tc>
        <w:tc>
          <w:tcPr>
            <w:tcW w:w="851" w:type="dxa"/>
            <w:shd w:val="clear" w:color="auto" w:fill="auto"/>
            <w:vAlign w:val="center"/>
          </w:tcPr>
          <w:p w14:paraId="4FB5F1CA" w14:textId="77777777" w:rsidR="008238E6" w:rsidRDefault="00D61AB3">
            <w:pPr>
              <w:spacing w:before="120" w:after="120"/>
              <w:jc w:val="center"/>
              <w:rPr>
                <w:color w:val="000000"/>
              </w:rPr>
            </w:pPr>
            <w:r>
              <w:t>NSA</w:t>
            </w:r>
          </w:p>
        </w:tc>
      </w:tr>
      <w:tr w:rsidR="008238E6" w14:paraId="4FB5F1D4" w14:textId="77777777">
        <w:trPr>
          <w:trHeight w:val="762"/>
        </w:trPr>
        <w:tc>
          <w:tcPr>
            <w:tcW w:w="2479" w:type="dxa"/>
            <w:shd w:val="clear" w:color="auto" w:fill="auto"/>
            <w:vAlign w:val="center"/>
          </w:tcPr>
          <w:p w14:paraId="4FB5F1CC" w14:textId="77777777" w:rsidR="008238E6" w:rsidRDefault="00D61AB3">
            <w:pPr>
              <w:spacing w:before="120" w:after="120"/>
              <w:jc w:val="left"/>
              <w:rPr>
                <w:color w:val="000000"/>
              </w:rPr>
            </w:pPr>
            <w:r>
              <w:rPr>
                <w:color w:val="000000"/>
              </w:rPr>
              <w:t>Referências</w:t>
            </w:r>
          </w:p>
        </w:tc>
        <w:tc>
          <w:tcPr>
            <w:tcW w:w="992" w:type="dxa"/>
            <w:shd w:val="clear" w:color="auto" w:fill="auto"/>
            <w:vAlign w:val="center"/>
          </w:tcPr>
          <w:p w14:paraId="4FB5F1CD" w14:textId="77777777" w:rsidR="008238E6" w:rsidRDefault="00D61AB3">
            <w:pPr>
              <w:spacing w:before="120" w:after="120"/>
              <w:jc w:val="center"/>
              <w:rPr>
                <w:color w:val="000000"/>
              </w:rPr>
            </w:pPr>
            <w:r>
              <w:rPr>
                <w:color w:val="000000"/>
              </w:rPr>
              <w:t>25</w:t>
            </w:r>
          </w:p>
        </w:tc>
        <w:tc>
          <w:tcPr>
            <w:tcW w:w="5670" w:type="dxa"/>
            <w:shd w:val="clear" w:color="auto" w:fill="auto"/>
            <w:vAlign w:val="center"/>
          </w:tcPr>
          <w:p w14:paraId="4FB5F1CE" w14:textId="77777777" w:rsidR="008238E6" w:rsidRDefault="00D61AB3">
            <w:pPr>
              <w:spacing w:before="120" w:after="120"/>
              <w:jc w:val="left"/>
              <w:rPr>
                <w:color w:val="000000"/>
              </w:rPr>
            </w:pPr>
            <w:r>
              <w:rPr>
                <w:color w:val="000000"/>
              </w:rPr>
              <w:t>Informa as referências utilizadas para a elaboração do estudo.</w:t>
            </w:r>
          </w:p>
        </w:tc>
        <w:tc>
          <w:tcPr>
            <w:tcW w:w="993" w:type="dxa"/>
            <w:shd w:val="clear" w:color="auto" w:fill="auto"/>
            <w:vAlign w:val="center"/>
          </w:tcPr>
          <w:p w14:paraId="4FB5F1CF" w14:textId="77777777" w:rsidR="008238E6" w:rsidRDefault="00D61AB3">
            <w:pPr>
              <w:spacing w:before="120" w:after="120"/>
              <w:jc w:val="center"/>
              <w:rPr>
                <w:color w:val="000000"/>
              </w:rPr>
            </w:pPr>
            <w:r>
              <w:t>X</w:t>
            </w:r>
          </w:p>
        </w:tc>
        <w:tc>
          <w:tcPr>
            <w:tcW w:w="850" w:type="dxa"/>
            <w:shd w:val="clear" w:color="auto" w:fill="auto"/>
            <w:vAlign w:val="center"/>
          </w:tcPr>
          <w:p w14:paraId="4FB5F1D0" w14:textId="77777777" w:rsidR="008238E6" w:rsidRDefault="008238E6">
            <w:pPr>
              <w:spacing w:before="120" w:after="120"/>
              <w:jc w:val="center"/>
              <w:rPr>
                <w:color w:val="000000"/>
              </w:rPr>
            </w:pPr>
          </w:p>
        </w:tc>
        <w:tc>
          <w:tcPr>
            <w:tcW w:w="851" w:type="dxa"/>
            <w:shd w:val="clear" w:color="auto" w:fill="auto"/>
            <w:vAlign w:val="center"/>
          </w:tcPr>
          <w:p w14:paraId="4FB5F1D1" w14:textId="77777777" w:rsidR="008238E6" w:rsidRDefault="008238E6">
            <w:pPr>
              <w:spacing w:before="120" w:after="120"/>
              <w:jc w:val="center"/>
              <w:rPr>
                <w:color w:val="000000"/>
              </w:rPr>
            </w:pPr>
          </w:p>
        </w:tc>
        <w:tc>
          <w:tcPr>
            <w:tcW w:w="708" w:type="dxa"/>
            <w:shd w:val="clear" w:color="auto" w:fill="auto"/>
            <w:vAlign w:val="center"/>
          </w:tcPr>
          <w:p w14:paraId="4FB5F1D2" w14:textId="77777777" w:rsidR="008238E6" w:rsidRDefault="008238E6">
            <w:pPr>
              <w:spacing w:before="120" w:after="120"/>
              <w:jc w:val="center"/>
              <w:rPr>
                <w:color w:val="000000"/>
              </w:rPr>
            </w:pPr>
          </w:p>
        </w:tc>
        <w:tc>
          <w:tcPr>
            <w:tcW w:w="851" w:type="dxa"/>
            <w:shd w:val="clear" w:color="auto" w:fill="auto"/>
            <w:vAlign w:val="center"/>
          </w:tcPr>
          <w:p w14:paraId="4FB5F1D3" w14:textId="77777777" w:rsidR="008238E6" w:rsidRDefault="00D61AB3">
            <w:pPr>
              <w:spacing w:before="120" w:after="120"/>
              <w:jc w:val="center"/>
              <w:rPr>
                <w:color w:val="000000"/>
              </w:rPr>
            </w:pPr>
            <w:r>
              <w:t>19</w:t>
            </w:r>
          </w:p>
        </w:tc>
      </w:tr>
      <w:tr w:rsidR="008238E6" w14:paraId="4FB5F1DD" w14:textId="77777777">
        <w:trPr>
          <w:trHeight w:val="762"/>
        </w:trPr>
        <w:tc>
          <w:tcPr>
            <w:tcW w:w="2479" w:type="dxa"/>
            <w:shd w:val="clear" w:color="auto" w:fill="auto"/>
            <w:vAlign w:val="center"/>
          </w:tcPr>
          <w:p w14:paraId="4FB5F1D5" w14:textId="77777777" w:rsidR="008238E6" w:rsidRDefault="00D61AB3">
            <w:pPr>
              <w:spacing w:before="120" w:after="120"/>
              <w:jc w:val="left"/>
              <w:rPr>
                <w:color w:val="000000"/>
              </w:rPr>
            </w:pPr>
            <w:r>
              <w:rPr>
                <w:color w:val="000000"/>
              </w:rPr>
              <w:t>Instrumento de apoio</w:t>
            </w:r>
          </w:p>
        </w:tc>
        <w:tc>
          <w:tcPr>
            <w:tcW w:w="992" w:type="dxa"/>
            <w:shd w:val="clear" w:color="auto" w:fill="auto"/>
            <w:vAlign w:val="center"/>
          </w:tcPr>
          <w:p w14:paraId="4FB5F1D6" w14:textId="77777777" w:rsidR="008238E6" w:rsidRDefault="00D61AB3">
            <w:pPr>
              <w:spacing w:before="120" w:after="120"/>
              <w:jc w:val="center"/>
              <w:rPr>
                <w:color w:val="000000"/>
              </w:rPr>
            </w:pPr>
            <w:r>
              <w:rPr>
                <w:color w:val="000000"/>
              </w:rPr>
              <w:t>26</w:t>
            </w:r>
          </w:p>
        </w:tc>
        <w:tc>
          <w:tcPr>
            <w:tcW w:w="5670" w:type="dxa"/>
            <w:shd w:val="clear" w:color="auto" w:fill="auto"/>
            <w:vAlign w:val="center"/>
          </w:tcPr>
          <w:p w14:paraId="4FB5F1D7" w14:textId="77777777" w:rsidR="008238E6" w:rsidRDefault="00D61AB3">
            <w:pPr>
              <w:spacing w:before="120" w:after="120"/>
              <w:jc w:val="left"/>
              <w:rPr>
                <w:color w:val="000000"/>
              </w:rPr>
            </w:pPr>
            <w:r>
              <w:rPr>
                <w:color w:val="000000"/>
              </w:rPr>
              <w:t>O instrumento de apoio (ex: planilha eletrônica) utilizado no estudo é apresentada na íntegra e é reprodutível.</w:t>
            </w:r>
          </w:p>
        </w:tc>
        <w:tc>
          <w:tcPr>
            <w:tcW w:w="993" w:type="dxa"/>
            <w:shd w:val="clear" w:color="auto" w:fill="auto"/>
            <w:vAlign w:val="center"/>
          </w:tcPr>
          <w:p w14:paraId="4FB5F1D8" w14:textId="77777777" w:rsidR="008238E6" w:rsidRDefault="008238E6">
            <w:pPr>
              <w:spacing w:before="120" w:after="120"/>
              <w:jc w:val="center"/>
              <w:rPr>
                <w:color w:val="000000"/>
              </w:rPr>
            </w:pPr>
          </w:p>
        </w:tc>
        <w:tc>
          <w:tcPr>
            <w:tcW w:w="850" w:type="dxa"/>
            <w:shd w:val="clear" w:color="auto" w:fill="auto"/>
            <w:vAlign w:val="center"/>
          </w:tcPr>
          <w:p w14:paraId="4FB5F1D9" w14:textId="77777777" w:rsidR="008238E6" w:rsidRDefault="008238E6">
            <w:pPr>
              <w:spacing w:before="120" w:after="120"/>
              <w:jc w:val="center"/>
              <w:rPr>
                <w:color w:val="000000"/>
              </w:rPr>
            </w:pPr>
          </w:p>
        </w:tc>
        <w:tc>
          <w:tcPr>
            <w:tcW w:w="851" w:type="dxa"/>
            <w:shd w:val="clear" w:color="auto" w:fill="auto"/>
            <w:vAlign w:val="center"/>
          </w:tcPr>
          <w:p w14:paraId="4FB5F1DA" w14:textId="77777777" w:rsidR="008238E6" w:rsidRDefault="00D61AB3">
            <w:pPr>
              <w:spacing w:before="120" w:after="120"/>
              <w:jc w:val="center"/>
              <w:rPr>
                <w:color w:val="000000"/>
              </w:rPr>
            </w:pPr>
            <w:r>
              <w:t>X</w:t>
            </w:r>
          </w:p>
        </w:tc>
        <w:tc>
          <w:tcPr>
            <w:tcW w:w="708" w:type="dxa"/>
            <w:shd w:val="clear" w:color="auto" w:fill="auto"/>
            <w:vAlign w:val="center"/>
          </w:tcPr>
          <w:p w14:paraId="4FB5F1DB" w14:textId="77777777" w:rsidR="008238E6" w:rsidRDefault="008238E6">
            <w:pPr>
              <w:spacing w:before="120" w:after="120"/>
              <w:jc w:val="center"/>
              <w:rPr>
                <w:color w:val="000000"/>
              </w:rPr>
            </w:pPr>
          </w:p>
        </w:tc>
        <w:tc>
          <w:tcPr>
            <w:tcW w:w="851" w:type="dxa"/>
            <w:shd w:val="clear" w:color="auto" w:fill="auto"/>
            <w:vAlign w:val="center"/>
          </w:tcPr>
          <w:p w14:paraId="4FB5F1DC" w14:textId="77777777" w:rsidR="008238E6" w:rsidRDefault="00D61AB3">
            <w:pPr>
              <w:spacing w:before="120" w:after="120"/>
              <w:jc w:val="center"/>
              <w:rPr>
                <w:color w:val="000000"/>
              </w:rPr>
            </w:pPr>
            <w:r>
              <w:t>NSA</w:t>
            </w:r>
          </w:p>
        </w:tc>
      </w:tr>
    </w:tbl>
    <w:p w14:paraId="4FB5F1DE" w14:textId="77777777" w:rsidR="008238E6" w:rsidRDefault="00D61AB3">
      <w:pPr>
        <w:spacing w:before="60" w:after="60" w:line="240" w:lineRule="auto"/>
        <w:jc w:val="left"/>
        <w:rPr>
          <w:i/>
          <w:color w:val="000000"/>
          <w:sz w:val="20"/>
          <w:szCs w:val="20"/>
        </w:rPr>
      </w:pPr>
      <w:r>
        <w:rPr>
          <w:i/>
          <w:color w:val="000000"/>
          <w:sz w:val="20"/>
          <w:szCs w:val="20"/>
        </w:rPr>
        <w:t xml:space="preserve">Fontes: </w:t>
      </w:r>
    </w:p>
    <w:p w14:paraId="4FB5F1DF" w14:textId="77777777" w:rsidR="008238E6" w:rsidRDefault="00D61AB3">
      <w:pPr>
        <w:spacing w:before="120" w:after="120" w:line="240" w:lineRule="auto"/>
        <w:jc w:val="left"/>
        <w:rPr>
          <w:color w:val="000000"/>
          <w:sz w:val="20"/>
          <w:szCs w:val="20"/>
        </w:rPr>
      </w:pPr>
      <w:r>
        <w:rPr>
          <w:color w:val="000000"/>
          <w:sz w:val="20"/>
          <w:szCs w:val="20"/>
        </w:rPr>
        <w:t>Brasil, Ministério da Saúde, Secretaria de Ciência, Tecnologia e Insumos Estratégicos. Diretrizes metodológicas: diretriz de avaliação econômica. Brasília, Ministério da Saúde, 2014. 2 ed.</w:t>
      </w:r>
    </w:p>
    <w:p w14:paraId="4FB5F1E0" w14:textId="77777777" w:rsidR="008238E6" w:rsidRDefault="00D61AB3">
      <w:pPr>
        <w:spacing w:before="120" w:after="120" w:line="240" w:lineRule="auto"/>
        <w:jc w:val="left"/>
        <w:rPr>
          <w:color w:val="000000"/>
          <w:sz w:val="20"/>
          <w:szCs w:val="20"/>
        </w:rPr>
      </w:pPr>
      <w:r>
        <w:rPr>
          <w:color w:val="000000"/>
          <w:sz w:val="20"/>
          <w:szCs w:val="20"/>
        </w:rPr>
        <w:t>Galvão, TF, Pereira MG, Silva MT. Estudos de avaliação econômica de tecnologias em saúde: roteiro para análise crítica. Panam Salud Publica. 2014; 35(3): 291-27.</w:t>
      </w:r>
    </w:p>
    <w:p w14:paraId="4FB5F1E1" w14:textId="77777777" w:rsidR="008238E6" w:rsidRDefault="00D61AB3">
      <w:pPr>
        <w:spacing w:before="120" w:after="120" w:line="240" w:lineRule="auto"/>
        <w:jc w:val="left"/>
        <w:rPr>
          <w:color w:val="000000"/>
          <w:sz w:val="20"/>
          <w:szCs w:val="20"/>
        </w:rPr>
      </w:pPr>
      <w:r>
        <w:rPr>
          <w:color w:val="000000"/>
          <w:sz w:val="20"/>
          <w:szCs w:val="20"/>
        </w:rPr>
        <w:t>Silva EN, Silva MT, Augustovski, F, Husereau D, Pereira MG. Roteiro para relato de estudos de avaliação econômica. Epid.e Serv. de Saúde.2017 out-dez; 6(4): 895-898.</w:t>
      </w:r>
    </w:p>
    <w:p w14:paraId="4FB5F1E2" w14:textId="77777777" w:rsidR="008238E6" w:rsidRDefault="00D61AB3">
      <w:pPr>
        <w:spacing w:before="120" w:after="120" w:line="240" w:lineRule="auto"/>
        <w:jc w:val="left"/>
        <w:rPr>
          <w:color w:val="000000"/>
          <w:sz w:val="20"/>
          <w:szCs w:val="20"/>
        </w:rPr>
      </w:pPr>
      <w:r>
        <w:rPr>
          <w:color w:val="000000"/>
          <w:sz w:val="20"/>
          <w:szCs w:val="20"/>
        </w:rPr>
        <w:t>Husereau D, Drummond M, Petrou S, Carswell C, Moher D, Greenberg D, et al. Consolidated Health Economic Evaluation Reporting Standards (CHEERS) - explanation and elaboration: a report of the ISPOR Health Economic Evaluation Publication Guidelines Good Reporting Practices Task Force. Value Health. 2013; 16:231-50.</w:t>
      </w:r>
    </w:p>
    <w:p w14:paraId="4FB5F1E3" w14:textId="77777777" w:rsidR="008238E6" w:rsidRDefault="008238E6">
      <w:pPr>
        <w:spacing w:before="120" w:after="120" w:line="240" w:lineRule="auto"/>
        <w:jc w:val="left"/>
        <w:rPr>
          <w:color w:val="000000"/>
          <w:sz w:val="20"/>
          <w:szCs w:val="20"/>
        </w:rPr>
      </w:pPr>
    </w:p>
    <w:p w14:paraId="4FB5F1E4" w14:textId="77777777" w:rsidR="008238E6" w:rsidRDefault="00D61AB3">
      <w:pPr>
        <w:spacing w:after="120" w:line="240" w:lineRule="auto"/>
        <w:jc w:val="left"/>
        <w:rPr>
          <w:b/>
          <w:color w:val="000000"/>
          <w:sz w:val="24"/>
          <w:szCs w:val="24"/>
        </w:rPr>
      </w:pPr>
      <w:r>
        <w:br w:type="page"/>
      </w:r>
    </w:p>
    <w:p w14:paraId="4FB5F1E5" w14:textId="77777777" w:rsidR="008238E6" w:rsidRDefault="00D61AB3">
      <w:pPr>
        <w:spacing w:after="120" w:line="240" w:lineRule="auto"/>
        <w:jc w:val="left"/>
        <w:rPr>
          <w:b/>
          <w:color w:val="000000"/>
        </w:rPr>
      </w:pPr>
      <w:r>
        <w:rPr>
          <w:b/>
          <w:color w:val="000000"/>
        </w:rPr>
        <w:t>Justificativa para itens de verificação marcados como "Não" ou "Parcial" e observações gerais:</w:t>
      </w:r>
    </w:p>
    <w:tbl>
      <w:tblPr>
        <w:tblStyle w:val="afffffffff"/>
        <w:tblW w:w="13537" w:type="dxa"/>
        <w:tblInd w:w="-70" w:type="dxa"/>
        <w:tblLayout w:type="fixed"/>
        <w:tblLook w:val="0400" w:firstRow="0" w:lastRow="0" w:firstColumn="0" w:lastColumn="0" w:noHBand="0" w:noVBand="1"/>
      </w:tblPr>
      <w:tblGrid>
        <w:gridCol w:w="1271"/>
        <w:gridCol w:w="1701"/>
        <w:gridCol w:w="10565"/>
      </w:tblGrid>
      <w:tr w:rsidR="008238E6" w14:paraId="4FB5F1E9" w14:textId="77777777">
        <w:trPr>
          <w:trHeight w:val="600"/>
        </w:trPr>
        <w:tc>
          <w:tcPr>
            <w:tcW w:w="127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1E6" w14:textId="77777777" w:rsidR="008238E6" w:rsidRDefault="00D61AB3">
            <w:pPr>
              <w:spacing w:before="120" w:after="120"/>
              <w:jc w:val="center"/>
              <w:rPr>
                <w:b/>
              </w:rPr>
            </w:pPr>
            <w:r>
              <w:rPr>
                <w:b/>
              </w:rPr>
              <w:t>Item</w:t>
            </w:r>
          </w:p>
        </w:tc>
        <w:tc>
          <w:tcPr>
            <w:tcW w:w="1701" w:type="dxa"/>
            <w:tcBorders>
              <w:top w:val="single" w:sz="4" w:space="0" w:color="000000"/>
              <w:left w:val="nil"/>
              <w:bottom w:val="single" w:sz="4" w:space="0" w:color="000000"/>
              <w:right w:val="single" w:sz="4" w:space="0" w:color="000000"/>
            </w:tcBorders>
            <w:shd w:val="clear" w:color="auto" w:fill="B4C6E7"/>
            <w:vAlign w:val="center"/>
          </w:tcPr>
          <w:p w14:paraId="4FB5F1E7" w14:textId="77777777" w:rsidR="008238E6" w:rsidRDefault="00D61AB3">
            <w:pPr>
              <w:spacing w:before="120" w:after="120"/>
              <w:jc w:val="center"/>
              <w:rPr>
                <w:b/>
              </w:rPr>
            </w:pPr>
            <w:r>
              <w:rPr>
                <w:b/>
              </w:rPr>
              <w:t>Julgamento</w:t>
            </w:r>
          </w:p>
        </w:tc>
        <w:tc>
          <w:tcPr>
            <w:tcW w:w="10565" w:type="dxa"/>
            <w:tcBorders>
              <w:top w:val="single" w:sz="4" w:space="0" w:color="000000"/>
              <w:left w:val="nil"/>
              <w:bottom w:val="single" w:sz="4" w:space="0" w:color="000000"/>
              <w:right w:val="single" w:sz="4" w:space="0" w:color="000000"/>
            </w:tcBorders>
            <w:shd w:val="clear" w:color="auto" w:fill="B4C6E7"/>
            <w:vAlign w:val="center"/>
          </w:tcPr>
          <w:p w14:paraId="4FB5F1E8" w14:textId="77777777" w:rsidR="008238E6" w:rsidRDefault="00D61AB3">
            <w:pPr>
              <w:spacing w:before="120" w:after="120"/>
              <w:jc w:val="center"/>
              <w:rPr>
                <w:b/>
              </w:rPr>
            </w:pPr>
            <w:r>
              <w:rPr>
                <w:b/>
              </w:rPr>
              <w:t>Justificativas e observações</w:t>
            </w:r>
          </w:p>
        </w:tc>
      </w:tr>
      <w:tr w:rsidR="008238E6" w14:paraId="4FB5F1ED"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1EA" w14:textId="77777777" w:rsidR="008238E6" w:rsidRDefault="008238E6">
            <w:pPr>
              <w:spacing w:before="120" w:after="120"/>
              <w:jc w:val="center"/>
            </w:pP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1EB" w14:textId="77777777" w:rsidR="008238E6" w:rsidRDefault="008238E6">
            <w:pPr>
              <w:spacing w:before="120" w:after="120"/>
              <w:jc w:val="center"/>
            </w:pP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4FB5F1EC" w14:textId="77777777" w:rsidR="008238E6" w:rsidRDefault="008238E6">
            <w:pPr>
              <w:spacing w:before="120" w:after="120"/>
              <w:jc w:val="left"/>
            </w:pPr>
          </w:p>
        </w:tc>
      </w:tr>
      <w:tr w:rsidR="008238E6" w14:paraId="4FB5F1F1"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1EE" w14:textId="77777777" w:rsidR="008238E6" w:rsidRDefault="008238E6">
            <w:pPr>
              <w:spacing w:before="120" w:after="120"/>
              <w:jc w:val="center"/>
            </w:pP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1EF" w14:textId="77777777" w:rsidR="008238E6" w:rsidRDefault="008238E6">
            <w:pPr>
              <w:spacing w:before="120" w:after="120"/>
              <w:jc w:val="center"/>
            </w:pP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4FB5F1F0" w14:textId="77777777" w:rsidR="008238E6" w:rsidRDefault="008238E6">
            <w:pPr>
              <w:spacing w:before="120" w:after="120"/>
              <w:jc w:val="left"/>
            </w:pPr>
          </w:p>
        </w:tc>
      </w:tr>
      <w:tr w:rsidR="008238E6" w14:paraId="4FB5F1F5"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1F2" w14:textId="77777777" w:rsidR="008238E6" w:rsidRDefault="00D61AB3">
            <w:pPr>
              <w:spacing w:before="120" w:after="120"/>
              <w:jc w:val="center"/>
            </w:pPr>
            <w:r>
              <w:t>24</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1F3" w14:textId="77777777" w:rsidR="008238E6" w:rsidRDefault="00D61AB3">
            <w:pPr>
              <w:spacing w:before="120" w:after="120"/>
              <w:jc w:val="center"/>
            </w:pPr>
            <w:r>
              <w:t>n/a</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4FB5F1F4" w14:textId="77777777" w:rsidR="008238E6" w:rsidRDefault="00D61AB3">
            <w:pPr>
              <w:spacing w:before="120" w:after="120"/>
              <w:jc w:val="left"/>
            </w:pPr>
            <w:r>
              <w:t>A declaração de conflitos de interesse é objeto de análise pela ANS devido à proteção de dados confidenciais. O PARECERISTA não teve acesso ao documento.</w:t>
            </w:r>
          </w:p>
        </w:tc>
      </w:tr>
    </w:tbl>
    <w:p w14:paraId="4FB5F1F6" w14:textId="77777777" w:rsidR="008238E6" w:rsidRDefault="00D61AB3">
      <w:pPr>
        <w:spacing w:before="120" w:after="120" w:line="240" w:lineRule="auto"/>
        <w:jc w:val="left"/>
        <w:rPr>
          <w:b/>
          <w:color w:val="000000"/>
        </w:rPr>
      </w:pPr>
      <w:r>
        <w:rPr>
          <w:b/>
          <w:color w:val="000000"/>
        </w:rPr>
        <w:t>(inserir outras linhas se necessário)</w:t>
      </w:r>
    </w:p>
    <w:p w14:paraId="4FB5F1F7" w14:textId="77777777" w:rsidR="008238E6" w:rsidRDefault="008238E6"/>
    <w:p w14:paraId="4FB5F1F8" w14:textId="77777777" w:rsidR="008238E6" w:rsidRDefault="008238E6"/>
    <w:p w14:paraId="4FB5F1F9" w14:textId="77777777" w:rsidR="008238E6" w:rsidRDefault="008238E6"/>
    <w:p w14:paraId="4FB5F1FA" w14:textId="77777777" w:rsidR="008238E6" w:rsidRDefault="008238E6"/>
    <w:p w14:paraId="4FB5F1FB" w14:textId="77777777" w:rsidR="008238E6" w:rsidRDefault="00D61AB3">
      <w:pPr>
        <w:spacing w:before="0" w:after="160" w:line="259" w:lineRule="auto"/>
        <w:jc w:val="left"/>
        <w:rPr>
          <w:b/>
        </w:rPr>
      </w:pPr>
      <w:r>
        <w:br w:type="page"/>
      </w:r>
    </w:p>
    <w:p w14:paraId="4FB5F1FC" w14:textId="77777777" w:rsidR="008238E6" w:rsidRDefault="00D61AB3">
      <w:pPr>
        <w:spacing w:before="0" w:after="120"/>
        <w:jc w:val="center"/>
        <w:rPr>
          <w:b/>
        </w:rPr>
      </w:pPr>
      <w:r>
        <w:rPr>
          <w:b/>
        </w:rPr>
        <w:t xml:space="preserve">Anexo 2. </w:t>
      </w:r>
      <w:r>
        <w:t>Checklist de análise crítica: Análise de impacto orçamentário de tecnologias em saúde no processo de atualização do Rol da ANS.</w:t>
      </w:r>
    </w:p>
    <w:tbl>
      <w:tblPr>
        <w:tblStyle w:val="afffffffff0"/>
        <w:tblW w:w="13471" w:type="dxa"/>
        <w:jc w:val="center"/>
        <w:tblLayout w:type="fixed"/>
        <w:tblLook w:val="0400" w:firstRow="0" w:lastRow="0" w:firstColumn="0" w:lastColumn="0" w:noHBand="0" w:noVBand="1"/>
      </w:tblPr>
      <w:tblGrid>
        <w:gridCol w:w="2233"/>
        <w:gridCol w:w="1134"/>
        <w:gridCol w:w="5959"/>
        <w:gridCol w:w="850"/>
        <w:gridCol w:w="851"/>
        <w:gridCol w:w="887"/>
        <w:gridCol w:w="814"/>
        <w:gridCol w:w="743"/>
      </w:tblGrid>
      <w:tr w:rsidR="008238E6" w14:paraId="4FB5F205" w14:textId="77777777">
        <w:trPr>
          <w:trHeight w:val="855"/>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1FD" w14:textId="77777777" w:rsidR="008238E6" w:rsidRDefault="00D61AB3">
            <w:pPr>
              <w:spacing w:before="120" w:after="120"/>
              <w:jc w:val="center"/>
              <w:rPr>
                <w:b/>
              </w:rPr>
            </w:pPr>
            <w:r>
              <w:rPr>
                <w:b/>
              </w:rPr>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4FB5F1FE" w14:textId="77777777" w:rsidR="008238E6" w:rsidRDefault="00D61AB3">
            <w:pPr>
              <w:spacing w:before="120" w:after="120"/>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FB5F1FF" w14:textId="77777777" w:rsidR="008238E6" w:rsidRDefault="00D61AB3">
            <w:pPr>
              <w:spacing w:before="120" w:after="120"/>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4FB5F200" w14:textId="77777777" w:rsidR="008238E6" w:rsidRDefault="00D61AB3">
            <w:pPr>
              <w:spacing w:before="120" w:after="120"/>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4FB5F201" w14:textId="77777777" w:rsidR="008238E6" w:rsidRDefault="00D61AB3">
            <w:pPr>
              <w:spacing w:before="120" w:after="120"/>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4FB5F202" w14:textId="77777777" w:rsidR="008238E6" w:rsidRDefault="00D61AB3">
            <w:pPr>
              <w:spacing w:before="120" w:after="120"/>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4FB5F203" w14:textId="77777777" w:rsidR="008238E6" w:rsidRDefault="00D61AB3">
            <w:pPr>
              <w:spacing w:before="120" w:after="120"/>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4FB5F204" w14:textId="77777777" w:rsidR="008238E6" w:rsidRDefault="00D61AB3">
            <w:pPr>
              <w:spacing w:before="120" w:after="120"/>
              <w:jc w:val="center"/>
              <w:rPr>
                <w:b/>
              </w:rPr>
            </w:pPr>
            <w:r>
              <w:rPr>
                <w:b/>
              </w:rPr>
              <w:t>Pág.nº</w:t>
            </w:r>
          </w:p>
        </w:tc>
      </w:tr>
      <w:tr w:rsidR="008238E6" w14:paraId="4FB5F207" w14:textId="77777777">
        <w:trPr>
          <w:trHeight w:val="585"/>
          <w:jc w:val="center"/>
        </w:trPr>
        <w:tc>
          <w:tcPr>
            <w:tcW w:w="13471" w:type="dxa"/>
            <w:gridSpan w:val="8"/>
            <w:tcBorders>
              <w:top w:val="nil"/>
              <w:left w:val="single" w:sz="4" w:space="0" w:color="000000"/>
              <w:bottom w:val="single" w:sz="4" w:space="0" w:color="000000"/>
              <w:right w:val="single" w:sz="4" w:space="0" w:color="000000"/>
            </w:tcBorders>
            <w:shd w:val="clear" w:color="auto" w:fill="B4C6E7"/>
            <w:vAlign w:val="center"/>
          </w:tcPr>
          <w:p w14:paraId="4FB5F206" w14:textId="77777777" w:rsidR="008238E6" w:rsidRDefault="00D61AB3">
            <w:pPr>
              <w:spacing w:before="120" w:after="120"/>
              <w:jc w:val="left"/>
              <w:rPr>
                <w:b/>
                <w:color w:val="000000"/>
              </w:rPr>
            </w:pPr>
            <w:r>
              <w:rPr>
                <w:b/>
                <w:color w:val="000000"/>
              </w:rPr>
              <w:t>Definições</w:t>
            </w:r>
          </w:p>
        </w:tc>
      </w:tr>
      <w:tr w:rsidR="008238E6" w14:paraId="4FB5F210"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08" w14:textId="77777777" w:rsidR="008238E6" w:rsidRDefault="00D61AB3">
            <w:pPr>
              <w:spacing w:before="120" w:after="120"/>
              <w:jc w:val="left"/>
            </w:pPr>
            <w:r>
              <w:t>Problema</w:t>
            </w:r>
          </w:p>
        </w:tc>
        <w:tc>
          <w:tcPr>
            <w:tcW w:w="1134" w:type="dxa"/>
            <w:tcBorders>
              <w:top w:val="nil"/>
              <w:left w:val="nil"/>
              <w:bottom w:val="single" w:sz="4" w:space="0" w:color="000000"/>
              <w:right w:val="single" w:sz="4" w:space="0" w:color="000000"/>
            </w:tcBorders>
            <w:shd w:val="clear" w:color="auto" w:fill="auto"/>
            <w:vAlign w:val="center"/>
          </w:tcPr>
          <w:p w14:paraId="4FB5F209" w14:textId="77777777" w:rsidR="008238E6" w:rsidRDefault="00D61AB3">
            <w:pPr>
              <w:spacing w:before="120" w:after="120"/>
              <w:jc w:val="center"/>
              <w:rPr>
                <w:color w:val="000000"/>
              </w:rPr>
            </w:pPr>
            <w:r>
              <w:rPr>
                <w:color w:val="000000"/>
              </w:rPr>
              <w:t>1</w:t>
            </w:r>
          </w:p>
        </w:tc>
        <w:tc>
          <w:tcPr>
            <w:tcW w:w="5959" w:type="dxa"/>
            <w:tcBorders>
              <w:top w:val="nil"/>
              <w:left w:val="nil"/>
              <w:bottom w:val="single" w:sz="4" w:space="0" w:color="000000"/>
              <w:right w:val="single" w:sz="4" w:space="0" w:color="000000"/>
            </w:tcBorders>
            <w:shd w:val="clear" w:color="auto" w:fill="auto"/>
            <w:vAlign w:val="center"/>
          </w:tcPr>
          <w:p w14:paraId="4FB5F20A" w14:textId="77777777" w:rsidR="008238E6" w:rsidRDefault="00D61AB3">
            <w:pPr>
              <w:spacing w:before="120" w:after="120"/>
              <w:jc w:val="left"/>
              <w:rPr>
                <w:color w:val="000000"/>
              </w:rPr>
            </w:pPr>
            <w:r>
              <w:rPr>
                <w:color w:val="000000"/>
              </w:rPr>
              <w:t>O problema de saúde para o qual se destina a intervenção avaliada é adequado e está descrito de forma clara.</w:t>
            </w:r>
          </w:p>
        </w:tc>
        <w:tc>
          <w:tcPr>
            <w:tcW w:w="850" w:type="dxa"/>
            <w:tcBorders>
              <w:top w:val="nil"/>
              <w:left w:val="nil"/>
              <w:bottom w:val="single" w:sz="4" w:space="0" w:color="000000"/>
              <w:right w:val="single" w:sz="4" w:space="0" w:color="000000"/>
            </w:tcBorders>
            <w:shd w:val="clear" w:color="auto" w:fill="auto"/>
            <w:vAlign w:val="center"/>
          </w:tcPr>
          <w:p w14:paraId="4FB5F20B"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0C"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0D"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0E"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0F" w14:textId="77777777" w:rsidR="008238E6" w:rsidRDefault="008238E6">
            <w:pPr>
              <w:spacing w:before="120" w:after="120"/>
              <w:jc w:val="center"/>
              <w:rPr>
                <w:color w:val="000000"/>
              </w:rPr>
            </w:pPr>
          </w:p>
        </w:tc>
      </w:tr>
      <w:tr w:rsidR="008238E6" w14:paraId="4FB5F219"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11" w14:textId="77777777" w:rsidR="008238E6" w:rsidRDefault="00D61AB3">
            <w:pPr>
              <w:spacing w:before="120" w:after="120"/>
              <w:jc w:val="left"/>
              <w:rPr>
                <w:color w:val="000000"/>
              </w:rPr>
            </w:pPr>
            <w:r>
              <w:rPr>
                <w:color w:val="000000"/>
              </w:rPr>
              <w:t>População</w:t>
            </w:r>
          </w:p>
        </w:tc>
        <w:tc>
          <w:tcPr>
            <w:tcW w:w="1134" w:type="dxa"/>
            <w:tcBorders>
              <w:top w:val="nil"/>
              <w:left w:val="nil"/>
              <w:bottom w:val="single" w:sz="4" w:space="0" w:color="000000"/>
              <w:right w:val="single" w:sz="4" w:space="0" w:color="000000"/>
            </w:tcBorders>
            <w:shd w:val="clear" w:color="auto" w:fill="auto"/>
            <w:vAlign w:val="center"/>
          </w:tcPr>
          <w:p w14:paraId="4FB5F212" w14:textId="77777777" w:rsidR="008238E6" w:rsidRDefault="00D61AB3">
            <w:pPr>
              <w:spacing w:before="120" w:after="120"/>
              <w:jc w:val="center"/>
              <w:rPr>
                <w:color w:val="000000"/>
              </w:rPr>
            </w:pPr>
            <w:r>
              <w:rPr>
                <w:color w:val="000000"/>
              </w:rPr>
              <w:t>2</w:t>
            </w:r>
          </w:p>
        </w:tc>
        <w:tc>
          <w:tcPr>
            <w:tcW w:w="5959" w:type="dxa"/>
            <w:tcBorders>
              <w:top w:val="nil"/>
              <w:left w:val="nil"/>
              <w:bottom w:val="single" w:sz="4" w:space="0" w:color="000000"/>
              <w:right w:val="single" w:sz="4" w:space="0" w:color="000000"/>
            </w:tcBorders>
            <w:shd w:val="clear" w:color="auto" w:fill="auto"/>
            <w:vAlign w:val="center"/>
          </w:tcPr>
          <w:p w14:paraId="4FB5F213" w14:textId="77777777" w:rsidR="008238E6" w:rsidRDefault="00D61AB3">
            <w:pPr>
              <w:spacing w:before="120" w:after="120"/>
              <w:jc w:val="left"/>
              <w:rPr>
                <w:color w:val="000000"/>
              </w:rPr>
            </w:pPr>
            <w:r>
              <w:rPr>
                <w:color w:val="000000"/>
              </w:rPr>
              <w:t>A população elegível para a AIO está concordante com a população abordada nas evidências apresentadas no PTC/RS e no formulário da proposta.</w:t>
            </w:r>
          </w:p>
        </w:tc>
        <w:tc>
          <w:tcPr>
            <w:tcW w:w="850" w:type="dxa"/>
            <w:tcBorders>
              <w:top w:val="nil"/>
              <w:left w:val="nil"/>
              <w:bottom w:val="single" w:sz="4" w:space="0" w:color="000000"/>
              <w:right w:val="single" w:sz="4" w:space="0" w:color="000000"/>
            </w:tcBorders>
            <w:shd w:val="clear" w:color="auto" w:fill="auto"/>
            <w:vAlign w:val="center"/>
          </w:tcPr>
          <w:p w14:paraId="4FB5F214"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15"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16"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17"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18" w14:textId="77777777" w:rsidR="008238E6" w:rsidRDefault="008238E6">
            <w:pPr>
              <w:spacing w:before="120" w:after="120"/>
              <w:jc w:val="center"/>
              <w:rPr>
                <w:color w:val="000000"/>
              </w:rPr>
            </w:pPr>
          </w:p>
        </w:tc>
      </w:tr>
      <w:tr w:rsidR="008238E6" w14:paraId="4FB5F222"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1A" w14:textId="77777777" w:rsidR="008238E6" w:rsidRDefault="00D61AB3">
            <w:pPr>
              <w:spacing w:before="120" w:after="120"/>
              <w:jc w:val="left"/>
              <w:rPr>
                <w:color w:val="000000"/>
              </w:rPr>
            </w:pPr>
            <w:r>
              <w:rPr>
                <w:color w:val="000000"/>
              </w:rPr>
              <w:t>Tecnologia</w:t>
            </w:r>
          </w:p>
        </w:tc>
        <w:tc>
          <w:tcPr>
            <w:tcW w:w="1134" w:type="dxa"/>
            <w:tcBorders>
              <w:top w:val="nil"/>
              <w:left w:val="nil"/>
              <w:bottom w:val="single" w:sz="4" w:space="0" w:color="000000"/>
              <w:right w:val="single" w:sz="4" w:space="0" w:color="000000"/>
            </w:tcBorders>
            <w:shd w:val="clear" w:color="auto" w:fill="auto"/>
            <w:vAlign w:val="center"/>
          </w:tcPr>
          <w:p w14:paraId="4FB5F21B" w14:textId="77777777" w:rsidR="008238E6" w:rsidRDefault="00D61AB3">
            <w:pPr>
              <w:spacing w:before="120" w:after="120"/>
              <w:jc w:val="center"/>
              <w:rPr>
                <w:color w:val="000000"/>
              </w:rPr>
            </w:pPr>
            <w:r>
              <w:rPr>
                <w:color w:val="000000"/>
              </w:rPr>
              <w:t>3</w:t>
            </w:r>
          </w:p>
        </w:tc>
        <w:tc>
          <w:tcPr>
            <w:tcW w:w="5959" w:type="dxa"/>
            <w:tcBorders>
              <w:top w:val="nil"/>
              <w:left w:val="nil"/>
              <w:bottom w:val="single" w:sz="4" w:space="0" w:color="000000"/>
              <w:right w:val="single" w:sz="4" w:space="0" w:color="000000"/>
            </w:tcBorders>
            <w:shd w:val="clear" w:color="auto" w:fill="auto"/>
            <w:vAlign w:val="center"/>
          </w:tcPr>
          <w:p w14:paraId="4FB5F21C" w14:textId="77777777" w:rsidR="008238E6" w:rsidRDefault="00D61AB3">
            <w:pPr>
              <w:spacing w:before="120" w:after="120"/>
              <w:jc w:val="left"/>
              <w:rPr>
                <w:color w:val="000000"/>
              </w:rPr>
            </w:pPr>
            <w:r>
              <w:rPr>
                <w:color w:val="000000"/>
              </w:rPr>
              <w:t>A tecnologia em saúde é apresentada de forma clara e adequada (doses, tempo de uso etc.).</w:t>
            </w:r>
          </w:p>
        </w:tc>
        <w:tc>
          <w:tcPr>
            <w:tcW w:w="850" w:type="dxa"/>
            <w:tcBorders>
              <w:top w:val="nil"/>
              <w:left w:val="nil"/>
              <w:bottom w:val="single" w:sz="4" w:space="0" w:color="000000"/>
              <w:right w:val="single" w:sz="4" w:space="0" w:color="000000"/>
            </w:tcBorders>
            <w:shd w:val="clear" w:color="auto" w:fill="auto"/>
            <w:vAlign w:val="center"/>
          </w:tcPr>
          <w:p w14:paraId="4FB5F21D"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1E"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1F"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20"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21" w14:textId="77777777" w:rsidR="008238E6" w:rsidRDefault="008238E6">
            <w:pPr>
              <w:spacing w:before="120" w:after="120"/>
              <w:jc w:val="center"/>
              <w:rPr>
                <w:color w:val="000000"/>
              </w:rPr>
            </w:pPr>
          </w:p>
        </w:tc>
      </w:tr>
      <w:tr w:rsidR="008238E6" w14:paraId="4FB5F22B"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23" w14:textId="77777777" w:rsidR="008238E6" w:rsidRDefault="00D61AB3">
            <w:pPr>
              <w:spacing w:before="120" w:after="120"/>
              <w:jc w:val="left"/>
              <w:rPr>
                <w:color w:val="000000"/>
              </w:rPr>
            </w:pPr>
            <w:r>
              <w:rPr>
                <w:color w:val="000000"/>
              </w:rPr>
              <w:t>Comparadores</w:t>
            </w:r>
          </w:p>
        </w:tc>
        <w:tc>
          <w:tcPr>
            <w:tcW w:w="1134" w:type="dxa"/>
            <w:tcBorders>
              <w:top w:val="nil"/>
              <w:left w:val="nil"/>
              <w:bottom w:val="single" w:sz="4" w:space="0" w:color="000000"/>
              <w:right w:val="single" w:sz="4" w:space="0" w:color="000000"/>
            </w:tcBorders>
            <w:shd w:val="clear" w:color="auto" w:fill="auto"/>
            <w:vAlign w:val="center"/>
          </w:tcPr>
          <w:p w14:paraId="4FB5F224" w14:textId="77777777" w:rsidR="008238E6" w:rsidRDefault="00D61AB3">
            <w:pPr>
              <w:spacing w:before="120" w:after="120"/>
              <w:jc w:val="center"/>
              <w:rPr>
                <w:color w:val="000000"/>
              </w:rPr>
            </w:pPr>
            <w:r>
              <w:rPr>
                <w:color w:val="000000"/>
              </w:rPr>
              <w:t>4</w:t>
            </w:r>
          </w:p>
        </w:tc>
        <w:tc>
          <w:tcPr>
            <w:tcW w:w="5959" w:type="dxa"/>
            <w:tcBorders>
              <w:top w:val="nil"/>
              <w:left w:val="nil"/>
              <w:bottom w:val="single" w:sz="4" w:space="0" w:color="000000"/>
              <w:right w:val="single" w:sz="4" w:space="0" w:color="000000"/>
            </w:tcBorders>
            <w:shd w:val="clear" w:color="auto" w:fill="auto"/>
            <w:vAlign w:val="center"/>
          </w:tcPr>
          <w:p w14:paraId="4FB5F225" w14:textId="77777777" w:rsidR="008238E6" w:rsidRDefault="00D61AB3">
            <w:pPr>
              <w:spacing w:before="120" w:after="120"/>
              <w:jc w:val="left"/>
              <w:rPr>
                <w:color w:val="000000"/>
              </w:rPr>
            </w:pPr>
            <w:r>
              <w:rPr>
                <w:color w:val="000000"/>
              </w:rPr>
              <w:t>Os comparadores apresentados são adequados e relevantes para a saúde suplementar e estão descritos de forma clara.</w:t>
            </w:r>
          </w:p>
        </w:tc>
        <w:tc>
          <w:tcPr>
            <w:tcW w:w="850" w:type="dxa"/>
            <w:tcBorders>
              <w:top w:val="nil"/>
              <w:left w:val="nil"/>
              <w:bottom w:val="single" w:sz="4" w:space="0" w:color="000000"/>
              <w:right w:val="single" w:sz="4" w:space="0" w:color="000000"/>
            </w:tcBorders>
            <w:shd w:val="clear" w:color="auto" w:fill="auto"/>
            <w:vAlign w:val="center"/>
          </w:tcPr>
          <w:p w14:paraId="4FB5F226"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27"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28"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29"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2A" w14:textId="77777777" w:rsidR="008238E6" w:rsidRDefault="008238E6">
            <w:pPr>
              <w:spacing w:before="120" w:after="120"/>
              <w:jc w:val="center"/>
              <w:rPr>
                <w:color w:val="000000"/>
              </w:rPr>
            </w:pPr>
          </w:p>
        </w:tc>
      </w:tr>
      <w:tr w:rsidR="008238E6" w14:paraId="4FB5F234"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2C" w14:textId="77777777" w:rsidR="008238E6" w:rsidRDefault="00D61AB3">
            <w:pPr>
              <w:spacing w:before="120" w:after="120"/>
              <w:jc w:val="left"/>
              <w:rPr>
                <w:color w:val="000000"/>
              </w:rPr>
            </w:pPr>
            <w:r>
              <w:rPr>
                <w:color w:val="000000"/>
              </w:rPr>
              <w:t>Perspectiva da análise</w:t>
            </w:r>
          </w:p>
        </w:tc>
        <w:tc>
          <w:tcPr>
            <w:tcW w:w="1134" w:type="dxa"/>
            <w:tcBorders>
              <w:top w:val="nil"/>
              <w:left w:val="nil"/>
              <w:bottom w:val="single" w:sz="4" w:space="0" w:color="000000"/>
              <w:right w:val="single" w:sz="4" w:space="0" w:color="000000"/>
            </w:tcBorders>
            <w:shd w:val="clear" w:color="auto" w:fill="auto"/>
            <w:vAlign w:val="center"/>
          </w:tcPr>
          <w:p w14:paraId="4FB5F22D" w14:textId="77777777" w:rsidR="008238E6" w:rsidRDefault="00D61AB3">
            <w:pPr>
              <w:spacing w:before="120" w:after="120"/>
              <w:jc w:val="center"/>
              <w:rPr>
                <w:color w:val="000000"/>
              </w:rPr>
            </w:pPr>
            <w:r>
              <w:rPr>
                <w:color w:val="000000"/>
              </w:rPr>
              <w:t>5</w:t>
            </w:r>
          </w:p>
        </w:tc>
        <w:tc>
          <w:tcPr>
            <w:tcW w:w="5959" w:type="dxa"/>
            <w:tcBorders>
              <w:top w:val="nil"/>
              <w:left w:val="nil"/>
              <w:bottom w:val="single" w:sz="4" w:space="0" w:color="000000"/>
              <w:right w:val="single" w:sz="4" w:space="0" w:color="000000"/>
            </w:tcBorders>
            <w:shd w:val="clear" w:color="auto" w:fill="auto"/>
            <w:vAlign w:val="center"/>
          </w:tcPr>
          <w:p w14:paraId="4FB5F22E" w14:textId="77777777" w:rsidR="008238E6" w:rsidRDefault="00D61AB3">
            <w:pPr>
              <w:spacing w:before="120" w:after="120"/>
              <w:jc w:val="left"/>
              <w:rPr>
                <w:color w:val="000000"/>
              </w:rPr>
            </w:pPr>
            <w:r>
              <w:rPr>
                <w:color w:val="000000"/>
              </w:rPr>
              <w:t>A perspectiva da saúde suplementar é adotada e apresentada de forma clara, contendo justificativa.</w:t>
            </w:r>
          </w:p>
        </w:tc>
        <w:tc>
          <w:tcPr>
            <w:tcW w:w="850" w:type="dxa"/>
            <w:tcBorders>
              <w:top w:val="nil"/>
              <w:left w:val="nil"/>
              <w:bottom w:val="single" w:sz="4" w:space="0" w:color="000000"/>
              <w:right w:val="single" w:sz="4" w:space="0" w:color="000000"/>
            </w:tcBorders>
            <w:shd w:val="clear" w:color="auto" w:fill="auto"/>
            <w:vAlign w:val="center"/>
          </w:tcPr>
          <w:p w14:paraId="4FB5F22F"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30"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31"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32"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33" w14:textId="77777777" w:rsidR="008238E6" w:rsidRDefault="008238E6">
            <w:pPr>
              <w:spacing w:before="120" w:after="120"/>
              <w:jc w:val="center"/>
              <w:rPr>
                <w:color w:val="000000"/>
              </w:rPr>
            </w:pPr>
          </w:p>
        </w:tc>
      </w:tr>
      <w:tr w:rsidR="008238E6" w14:paraId="4FB5F23D"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35" w14:textId="77777777" w:rsidR="008238E6" w:rsidRDefault="00D61AB3">
            <w:pPr>
              <w:spacing w:before="120" w:after="120"/>
              <w:jc w:val="left"/>
              <w:rPr>
                <w:color w:val="000000"/>
              </w:rPr>
            </w:pPr>
            <w:r>
              <w:rPr>
                <w:color w:val="000000"/>
              </w:rPr>
              <w:t>Horizonte temporal</w:t>
            </w:r>
          </w:p>
        </w:tc>
        <w:tc>
          <w:tcPr>
            <w:tcW w:w="1134" w:type="dxa"/>
            <w:tcBorders>
              <w:top w:val="nil"/>
              <w:left w:val="nil"/>
              <w:bottom w:val="single" w:sz="4" w:space="0" w:color="000000"/>
              <w:right w:val="single" w:sz="4" w:space="0" w:color="000000"/>
            </w:tcBorders>
            <w:shd w:val="clear" w:color="auto" w:fill="auto"/>
            <w:vAlign w:val="center"/>
          </w:tcPr>
          <w:p w14:paraId="4FB5F236" w14:textId="77777777" w:rsidR="008238E6" w:rsidRDefault="00D61AB3">
            <w:pPr>
              <w:spacing w:before="120" w:after="120"/>
              <w:jc w:val="center"/>
              <w:rPr>
                <w:color w:val="000000"/>
              </w:rPr>
            </w:pPr>
            <w:r>
              <w:rPr>
                <w:color w:val="000000"/>
              </w:rPr>
              <w:t>6</w:t>
            </w:r>
          </w:p>
        </w:tc>
        <w:tc>
          <w:tcPr>
            <w:tcW w:w="5959" w:type="dxa"/>
            <w:tcBorders>
              <w:top w:val="nil"/>
              <w:left w:val="nil"/>
              <w:bottom w:val="single" w:sz="4" w:space="0" w:color="000000"/>
              <w:right w:val="single" w:sz="4" w:space="0" w:color="000000"/>
            </w:tcBorders>
            <w:shd w:val="clear" w:color="auto" w:fill="auto"/>
            <w:vAlign w:val="center"/>
          </w:tcPr>
          <w:p w14:paraId="4FB5F237" w14:textId="77777777" w:rsidR="008238E6" w:rsidRDefault="00D61AB3">
            <w:pPr>
              <w:spacing w:before="120" w:after="120"/>
              <w:jc w:val="left"/>
              <w:rPr>
                <w:color w:val="000000"/>
              </w:rPr>
            </w:pPr>
            <w:r>
              <w:rPr>
                <w:color w:val="000000"/>
              </w:rPr>
              <w:t>O horizonte temporal para custos e desfechos é adequado (5 anos)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38"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39"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3A" w14:textId="77777777" w:rsidR="008238E6" w:rsidRDefault="008238E6">
            <w:pPr>
              <w:spacing w:before="120" w:after="120"/>
              <w:jc w:val="center"/>
              <w:rPr>
                <w:color w:val="000000"/>
                <w:sz w:val="20"/>
                <w:szCs w:val="20"/>
              </w:rPr>
            </w:pPr>
          </w:p>
        </w:tc>
        <w:tc>
          <w:tcPr>
            <w:tcW w:w="814" w:type="dxa"/>
            <w:tcBorders>
              <w:top w:val="nil"/>
              <w:left w:val="nil"/>
              <w:bottom w:val="single" w:sz="4" w:space="0" w:color="000000"/>
              <w:right w:val="single" w:sz="4" w:space="0" w:color="000000"/>
            </w:tcBorders>
            <w:shd w:val="clear" w:color="auto" w:fill="auto"/>
            <w:vAlign w:val="center"/>
          </w:tcPr>
          <w:p w14:paraId="4FB5F23B"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3C" w14:textId="77777777" w:rsidR="008238E6" w:rsidRDefault="008238E6">
            <w:pPr>
              <w:spacing w:before="120" w:after="120"/>
              <w:jc w:val="center"/>
              <w:rPr>
                <w:color w:val="000000"/>
              </w:rPr>
            </w:pPr>
          </w:p>
        </w:tc>
      </w:tr>
    </w:tbl>
    <w:p w14:paraId="4FB5F23E" w14:textId="77777777" w:rsidR="008238E6" w:rsidRDefault="00D61AB3">
      <w:r>
        <w:br w:type="page"/>
      </w:r>
    </w:p>
    <w:tbl>
      <w:tblPr>
        <w:tblStyle w:val="afffffffff1"/>
        <w:tblW w:w="13471" w:type="dxa"/>
        <w:jc w:val="center"/>
        <w:tblLayout w:type="fixed"/>
        <w:tblLook w:val="0400" w:firstRow="0" w:lastRow="0" w:firstColumn="0" w:lastColumn="0" w:noHBand="0" w:noVBand="1"/>
      </w:tblPr>
      <w:tblGrid>
        <w:gridCol w:w="2233"/>
        <w:gridCol w:w="1134"/>
        <w:gridCol w:w="5959"/>
        <w:gridCol w:w="850"/>
        <w:gridCol w:w="851"/>
        <w:gridCol w:w="887"/>
        <w:gridCol w:w="814"/>
        <w:gridCol w:w="743"/>
      </w:tblGrid>
      <w:tr w:rsidR="008238E6" w14:paraId="4FB5F247" w14:textId="77777777">
        <w:trPr>
          <w:trHeight w:val="855"/>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23F" w14:textId="77777777" w:rsidR="008238E6" w:rsidRDefault="00D61AB3">
            <w:pPr>
              <w:spacing w:before="120" w:after="120"/>
              <w:jc w:val="center"/>
              <w:rPr>
                <w:b/>
              </w:rPr>
            </w:pPr>
            <w:r>
              <w:rPr>
                <w:b/>
              </w:rPr>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4FB5F240" w14:textId="77777777" w:rsidR="008238E6" w:rsidRDefault="00D61AB3">
            <w:pPr>
              <w:spacing w:before="120" w:after="120"/>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FB5F241" w14:textId="77777777" w:rsidR="008238E6" w:rsidRDefault="00D61AB3">
            <w:pPr>
              <w:spacing w:before="120" w:after="120"/>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4FB5F242" w14:textId="77777777" w:rsidR="008238E6" w:rsidRDefault="00D61AB3">
            <w:pPr>
              <w:spacing w:before="120" w:after="120"/>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4FB5F243" w14:textId="77777777" w:rsidR="008238E6" w:rsidRDefault="00D61AB3">
            <w:pPr>
              <w:spacing w:before="120" w:after="120"/>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4FB5F244" w14:textId="77777777" w:rsidR="008238E6" w:rsidRDefault="00D61AB3">
            <w:pPr>
              <w:spacing w:before="120" w:after="120"/>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4FB5F245" w14:textId="77777777" w:rsidR="008238E6" w:rsidRDefault="00D61AB3">
            <w:pPr>
              <w:spacing w:before="120" w:after="120"/>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4FB5F246" w14:textId="77777777" w:rsidR="008238E6" w:rsidRDefault="00D61AB3">
            <w:pPr>
              <w:spacing w:before="120" w:after="120"/>
              <w:jc w:val="center"/>
              <w:rPr>
                <w:b/>
              </w:rPr>
            </w:pPr>
            <w:r>
              <w:rPr>
                <w:b/>
              </w:rPr>
              <w:t>Pág.nº</w:t>
            </w:r>
          </w:p>
        </w:tc>
      </w:tr>
      <w:tr w:rsidR="008238E6" w14:paraId="4FB5F249"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248" w14:textId="77777777" w:rsidR="008238E6" w:rsidRDefault="00D61AB3">
            <w:pPr>
              <w:spacing w:before="120" w:after="120"/>
              <w:jc w:val="left"/>
              <w:rPr>
                <w:b/>
              </w:rPr>
            </w:pPr>
            <w:r>
              <w:rPr>
                <w:b/>
              </w:rPr>
              <w:t>Cenários</w:t>
            </w:r>
          </w:p>
        </w:tc>
      </w:tr>
      <w:tr w:rsidR="008238E6" w14:paraId="4FB5F252"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4A" w14:textId="77777777" w:rsidR="008238E6" w:rsidRDefault="00D61AB3">
            <w:pPr>
              <w:spacing w:before="120" w:after="120"/>
              <w:jc w:val="left"/>
              <w:rPr>
                <w:color w:val="000000"/>
              </w:rPr>
            </w:pPr>
            <w:r>
              <w:rPr>
                <w:color w:val="000000"/>
              </w:rPr>
              <w:t>Quotas de mercado</w:t>
            </w:r>
          </w:p>
        </w:tc>
        <w:tc>
          <w:tcPr>
            <w:tcW w:w="1134" w:type="dxa"/>
            <w:tcBorders>
              <w:top w:val="nil"/>
              <w:left w:val="nil"/>
              <w:bottom w:val="single" w:sz="4" w:space="0" w:color="000000"/>
              <w:right w:val="single" w:sz="4" w:space="0" w:color="000000"/>
            </w:tcBorders>
            <w:shd w:val="clear" w:color="auto" w:fill="auto"/>
            <w:vAlign w:val="center"/>
          </w:tcPr>
          <w:p w14:paraId="4FB5F24B" w14:textId="77777777" w:rsidR="008238E6" w:rsidRDefault="00D61AB3">
            <w:pPr>
              <w:spacing w:before="120" w:after="120"/>
              <w:jc w:val="center"/>
              <w:rPr>
                <w:color w:val="000000"/>
              </w:rPr>
            </w:pPr>
            <w:r>
              <w:rPr>
                <w:color w:val="000000"/>
              </w:rPr>
              <w:t>7</w:t>
            </w:r>
          </w:p>
        </w:tc>
        <w:tc>
          <w:tcPr>
            <w:tcW w:w="5959" w:type="dxa"/>
            <w:tcBorders>
              <w:top w:val="nil"/>
              <w:left w:val="nil"/>
              <w:bottom w:val="single" w:sz="4" w:space="0" w:color="000000"/>
              <w:right w:val="single" w:sz="4" w:space="0" w:color="000000"/>
            </w:tcBorders>
            <w:shd w:val="clear" w:color="auto" w:fill="auto"/>
            <w:vAlign w:val="center"/>
          </w:tcPr>
          <w:p w14:paraId="4FB5F24C" w14:textId="77777777" w:rsidR="008238E6" w:rsidRDefault="00D61AB3">
            <w:pPr>
              <w:spacing w:before="120" w:after="120"/>
              <w:jc w:val="left"/>
              <w:rPr>
                <w:color w:val="000000"/>
              </w:rPr>
            </w:pPr>
            <w:r>
              <w:rPr>
                <w:color w:val="000000"/>
              </w:rPr>
              <w:t>A estimativa de quotas de mercado é factível e apresentada de forma clara, contendo justificativa.</w:t>
            </w:r>
          </w:p>
        </w:tc>
        <w:tc>
          <w:tcPr>
            <w:tcW w:w="850" w:type="dxa"/>
            <w:tcBorders>
              <w:top w:val="nil"/>
              <w:left w:val="nil"/>
              <w:bottom w:val="single" w:sz="4" w:space="0" w:color="000000"/>
              <w:right w:val="single" w:sz="4" w:space="0" w:color="000000"/>
            </w:tcBorders>
            <w:shd w:val="clear" w:color="auto" w:fill="auto"/>
            <w:vAlign w:val="center"/>
          </w:tcPr>
          <w:p w14:paraId="4FB5F24D"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4E"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4F"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50"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51" w14:textId="77777777" w:rsidR="008238E6" w:rsidRDefault="008238E6">
            <w:pPr>
              <w:spacing w:before="120" w:after="120"/>
              <w:jc w:val="center"/>
              <w:rPr>
                <w:color w:val="000000"/>
              </w:rPr>
            </w:pPr>
          </w:p>
        </w:tc>
      </w:tr>
      <w:tr w:rsidR="008238E6" w14:paraId="4FB5F25B"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53" w14:textId="77777777" w:rsidR="008238E6" w:rsidRDefault="00D61AB3">
            <w:pPr>
              <w:spacing w:before="120" w:after="120"/>
              <w:jc w:val="left"/>
              <w:rPr>
                <w:color w:val="000000"/>
              </w:rPr>
            </w:pPr>
            <w:r>
              <w:rPr>
                <w:color w:val="000000"/>
              </w:rPr>
              <w:t>Cenário de referência</w:t>
            </w:r>
          </w:p>
        </w:tc>
        <w:tc>
          <w:tcPr>
            <w:tcW w:w="1134" w:type="dxa"/>
            <w:tcBorders>
              <w:top w:val="nil"/>
              <w:left w:val="nil"/>
              <w:bottom w:val="single" w:sz="4" w:space="0" w:color="000000"/>
              <w:right w:val="single" w:sz="4" w:space="0" w:color="000000"/>
            </w:tcBorders>
            <w:shd w:val="clear" w:color="auto" w:fill="auto"/>
            <w:vAlign w:val="center"/>
          </w:tcPr>
          <w:p w14:paraId="4FB5F254" w14:textId="77777777" w:rsidR="008238E6" w:rsidRDefault="00D61AB3">
            <w:pPr>
              <w:spacing w:before="120" w:after="120"/>
              <w:jc w:val="center"/>
              <w:rPr>
                <w:color w:val="000000"/>
              </w:rPr>
            </w:pPr>
            <w:r>
              <w:rPr>
                <w:color w:val="000000"/>
              </w:rPr>
              <w:t>8</w:t>
            </w:r>
          </w:p>
        </w:tc>
        <w:tc>
          <w:tcPr>
            <w:tcW w:w="5959" w:type="dxa"/>
            <w:tcBorders>
              <w:top w:val="nil"/>
              <w:left w:val="nil"/>
              <w:bottom w:val="single" w:sz="4" w:space="0" w:color="000000"/>
              <w:right w:val="single" w:sz="4" w:space="0" w:color="000000"/>
            </w:tcBorders>
            <w:shd w:val="clear" w:color="auto" w:fill="auto"/>
            <w:vAlign w:val="center"/>
          </w:tcPr>
          <w:p w14:paraId="4FB5F255" w14:textId="77777777" w:rsidR="008238E6" w:rsidRDefault="00D61AB3">
            <w:pPr>
              <w:spacing w:before="120" w:after="120"/>
              <w:jc w:val="left"/>
              <w:rPr>
                <w:color w:val="000000"/>
              </w:rPr>
            </w:pPr>
            <w:r>
              <w:rPr>
                <w:color w:val="000000"/>
              </w:rPr>
              <w:t>O cenário de referência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56"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57"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58"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59"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5A" w14:textId="77777777" w:rsidR="008238E6" w:rsidRDefault="008238E6">
            <w:pPr>
              <w:spacing w:before="120" w:after="120"/>
              <w:jc w:val="center"/>
              <w:rPr>
                <w:color w:val="000000"/>
              </w:rPr>
            </w:pPr>
          </w:p>
        </w:tc>
      </w:tr>
      <w:tr w:rsidR="008238E6" w14:paraId="4FB5F264"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5C" w14:textId="77777777" w:rsidR="008238E6" w:rsidRDefault="00D61AB3">
            <w:pPr>
              <w:spacing w:before="120" w:after="120"/>
              <w:jc w:val="left"/>
              <w:rPr>
                <w:color w:val="000000"/>
              </w:rPr>
            </w:pPr>
            <w:r>
              <w:rPr>
                <w:color w:val="000000"/>
              </w:rPr>
              <w:t>Cenário alternativo 1</w:t>
            </w:r>
          </w:p>
        </w:tc>
        <w:tc>
          <w:tcPr>
            <w:tcW w:w="1134" w:type="dxa"/>
            <w:tcBorders>
              <w:top w:val="nil"/>
              <w:left w:val="nil"/>
              <w:bottom w:val="single" w:sz="4" w:space="0" w:color="000000"/>
              <w:right w:val="single" w:sz="4" w:space="0" w:color="000000"/>
            </w:tcBorders>
            <w:shd w:val="clear" w:color="auto" w:fill="auto"/>
            <w:vAlign w:val="center"/>
          </w:tcPr>
          <w:p w14:paraId="4FB5F25D" w14:textId="77777777" w:rsidR="008238E6" w:rsidRDefault="00D61AB3">
            <w:pPr>
              <w:spacing w:before="120" w:after="120"/>
              <w:jc w:val="center"/>
              <w:rPr>
                <w:color w:val="000000"/>
              </w:rPr>
            </w:pPr>
            <w:r>
              <w:rPr>
                <w:color w:val="000000"/>
              </w:rPr>
              <w:t>9</w:t>
            </w:r>
          </w:p>
        </w:tc>
        <w:tc>
          <w:tcPr>
            <w:tcW w:w="5959" w:type="dxa"/>
            <w:tcBorders>
              <w:top w:val="nil"/>
              <w:left w:val="nil"/>
              <w:bottom w:val="single" w:sz="4" w:space="0" w:color="000000"/>
              <w:right w:val="single" w:sz="4" w:space="0" w:color="000000"/>
            </w:tcBorders>
            <w:shd w:val="clear" w:color="auto" w:fill="auto"/>
            <w:vAlign w:val="center"/>
          </w:tcPr>
          <w:p w14:paraId="4FB5F25E" w14:textId="77777777" w:rsidR="008238E6" w:rsidRDefault="00D61AB3">
            <w:pPr>
              <w:spacing w:before="120" w:after="120"/>
              <w:jc w:val="left"/>
              <w:rPr>
                <w:color w:val="000000"/>
              </w:rPr>
            </w:pPr>
            <w:r>
              <w:rPr>
                <w:color w:val="000000"/>
              </w:rPr>
              <w:t>O cenário de referência 1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5F"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60"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61"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62"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63" w14:textId="77777777" w:rsidR="008238E6" w:rsidRDefault="008238E6">
            <w:pPr>
              <w:spacing w:before="120" w:after="120"/>
              <w:jc w:val="center"/>
              <w:rPr>
                <w:color w:val="000000"/>
              </w:rPr>
            </w:pPr>
          </w:p>
        </w:tc>
      </w:tr>
      <w:tr w:rsidR="008238E6" w14:paraId="4FB5F26D"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65" w14:textId="77777777" w:rsidR="008238E6" w:rsidRDefault="00D61AB3">
            <w:pPr>
              <w:spacing w:before="120" w:after="120"/>
              <w:jc w:val="left"/>
              <w:rPr>
                <w:color w:val="000000"/>
              </w:rPr>
            </w:pPr>
            <w:r>
              <w:rPr>
                <w:color w:val="000000"/>
              </w:rPr>
              <w:t>Cenário alternativo 2</w:t>
            </w:r>
          </w:p>
        </w:tc>
        <w:tc>
          <w:tcPr>
            <w:tcW w:w="1134" w:type="dxa"/>
            <w:tcBorders>
              <w:top w:val="nil"/>
              <w:left w:val="nil"/>
              <w:bottom w:val="single" w:sz="4" w:space="0" w:color="000000"/>
              <w:right w:val="single" w:sz="4" w:space="0" w:color="000000"/>
            </w:tcBorders>
            <w:shd w:val="clear" w:color="auto" w:fill="auto"/>
            <w:vAlign w:val="center"/>
          </w:tcPr>
          <w:p w14:paraId="4FB5F266" w14:textId="77777777" w:rsidR="008238E6" w:rsidRDefault="00D61AB3">
            <w:pPr>
              <w:spacing w:before="120" w:after="120"/>
              <w:jc w:val="center"/>
              <w:rPr>
                <w:color w:val="000000"/>
              </w:rPr>
            </w:pPr>
            <w:r>
              <w:rPr>
                <w:color w:val="000000"/>
              </w:rPr>
              <w:t>10</w:t>
            </w:r>
          </w:p>
        </w:tc>
        <w:tc>
          <w:tcPr>
            <w:tcW w:w="5959" w:type="dxa"/>
            <w:tcBorders>
              <w:top w:val="nil"/>
              <w:left w:val="nil"/>
              <w:bottom w:val="single" w:sz="4" w:space="0" w:color="000000"/>
              <w:right w:val="single" w:sz="4" w:space="0" w:color="000000"/>
            </w:tcBorders>
            <w:shd w:val="clear" w:color="auto" w:fill="auto"/>
            <w:vAlign w:val="center"/>
          </w:tcPr>
          <w:p w14:paraId="4FB5F267" w14:textId="77777777" w:rsidR="008238E6" w:rsidRDefault="00D61AB3">
            <w:pPr>
              <w:spacing w:before="120" w:after="120"/>
              <w:jc w:val="left"/>
              <w:rPr>
                <w:color w:val="000000"/>
              </w:rPr>
            </w:pPr>
            <w:r>
              <w:rPr>
                <w:color w:val="000000"/>
              </w:rPr>
              <w:t>O cenário de referência 2 (se houver)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68"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69"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6A"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6B"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6C" w14:textId="77777777" w:rsidR="008238E6" w:rsidRDefault="008238E6">
            <w:pPr>
              <w:spacing w:before="120" w:after="120"/>
              <w:jc w:val="center"/>
              <w:rPr>
                <w:color w:val="000000"/>
              </w:rPr>
            </w:pPr>
          </w:p>
        </w:tc>
      </w:tr>
      <w:tr w:rsidR="008238E6" w14:paraId="4FB5F27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6E" w14:textId="77777777" w:rsidR="008238E6" w:rsidRDefault="00D61AB3">
            <w:pPr>
              <w:spacing w:before="120" w:after="120"/>
              <w:jc w:val="left"/>
              <w:rPr>
                <w:color w:val="000000"/>
              </w:rPr>
            </w:pPr>
            <w:r>
              <w:rPr>
                <w:color w:val="000000"/>
              </w:rPr>
              <w:t>Cenário alternativo 3</w:t>
            </w:r>
          </w:p>
        </w:tc>
        <w:tc>
          <w:tcPr>
            <w:tcW w:w="1134" w:type="dxa"/>
            <w:tcBorders>
              <w:top w:val="nil"/>
              <w:left w:val="nil"/>
              <w:bottom w:val="single" w:sz="4" w:space="0" w:color="000000"/>
              <w:right w:val="single" w:sz="4" w:space="0" w:color="000000"/>
            </w:tcBorders>
            <w:shd w:val="clear" w:color="auto" w:fill="auto"/>
            <w:vAlign w:val="center"/>
          </w:tcPr>
          <w:p w14:paraId="4FB5F26F" w14:textId="77777777" w:rsidR="008238E6" w:rsidRDefault="00D61AB3">
            <w:pPr>
              <w:spacing w:before="120" w:after="120"/>
              <w:jc w:val="center"/>
              <w:rPr>
                <w:color w:val="000000"/>
              </w:rPr>
            </w:pPr>
            <w:r>
              <w:rPr>
                <w:color w:val="000000"/>
              </w:rPr>
              <w:t>11</w:t>
            </w:r>
          </w:p>
        </w:tc>
        <w:tc>
          <w:tcPr>
            <w:tcW w:w="5959" w:type="dxa"/>
            <w:tcBorders>
              <w:top w:val="nil"/>
              <w:left w:val="nil"/>
              <w:bottom w:val="single" w:sz="4" w:space="0" w:color="000000"/>
              <w:right w:val="single" w:sz="4" w:space="0" w:color="000000"/>
            </w:tcBorders>
            <w:shd w:val="clear" w:color="auto" w:fill="auto"/>
            <w:vAlign w:val="center"/>
          </w:tcPr>
          <w:p w14:paraId="4FB5F270" w14:textId="77777777" w:rsidR="008238E6" w:rsidRDefault="00D61AB3">
            <w:pPr>
              <w:spacing w:before="120" w:after="120"/>
              <w:jc w:val="left"/>
              <w:rPr>
                <w:color w:val="000000"/>
              </w:rPr>
            </w:pPr>
            <w:r>
              <w:rPr>
                <w:color w:val="000000"/>
              </w:rPr>
              <w:t>O cenário de referência 3 (se houver)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71"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72"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73"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74" w14:textId="77777777" w:rsidR="008238E6" w:rsidRDefault="00D61AB3">
            <w:pPr>
              <w:spacing w:before="120" w:after="120"/>
              <w:jc w:val="center"/>
              <w:rPr>
                <w:color w:val="000000"/>
              </w:rPr>
            </w:pPr>
            <w:r>
              <w:t>X</w:t>
            </w:r>
          </w:p>
        </w:tc>
        <w:tc>
          <w:tcPr>
            <w:tcW w:w="743" w:type="dxa"/>
            <w:tcBorders>
              <w:top w:val="nil"/>
              <w:left w:val="nil"/>
              <w:bottom w:val="single" w:sz="4" w:space="0" w:color="000000"/>
              <w:right w:val="single" w:sz="4" w:space="0" w:color="000000"/>
            </w:tcBorders>
            <w:shd w:val="clear" w:color="auto" w:fill="auto"/>
            <w:vAlign w:val="center"/>
          </w:tcPr>
          <w:p w14:paraId="4FB5F275" w14:textId="77777777" w:rsidR="008238E6" w:rsidRDefault="008238E6">
            <w:pPr>
              <w:spacing w:before="120" w:after="120"/>
              <w:jc w:val="center"/>
              <w:rPr>
                <w:color w:val="000000"/>
              </w:rPr>
            </w:pPr>
          </w:p>
        </w:tc>
      </w:tr>
      <w:tr w:rsidR="008238E6" w14:paraId="4FB5F278"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277" w14:textId="77777777" w:rsidR="008238E6" w:rsidRDefault="00D61AB3">
            <w:pPr>
              <w:spacing w:before="120" w:after="120"/>
              <w:jc w:val="left"/>
              <w:rPr>
                <w:b/>
              </w:rPr>
            </w:pPr>
            <w:r>
              <w:rPr>
                <w:b/>
              </w:rPr>
              <w:t>População-alvo</w:t>
            </w:r>
          </w:p>
        </w:tc>
      </w:tr>
      <w:tr w:rsidR="008238E6" w14:paraId="4FB5F281"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79" w14:textId="77777777" w:rsidR="008238E6" w:rsidRDefault="00D61AB3">
            <w:pPr>
              <w:spacing w:before="120" w:after="120"/>
              <w:jc w:val="left"/>
              <w:rPr>
                <w:color w:val="000000"/>
              </w:rPr>
            </w:pPr>
            <w:r>
              <w:rPr>
                <w:color w:val="000000"/>
              </w:rPr>
              <w:t>Método</w:t>
            </w:r>
          </w:p>
        </w:tc>
        <w:tc>
          <w:tcPr>
            <w:tcW w:w="1134" w:type="dxa"/>
            <w:tcBorders>
              <w:top w:val="nil"/>
              <w:left w:val="nil"/>
              <w:bottom w:val="single" w:sz="4" w:space="0" w:color="000000"/>
              <w:right w:val="single" w:sz="4" w:space="0" w:color="000000"/>
            </w:tcBorders>
            <w:shd w:val="clear" w:color="auto" w:fill="auto"/>
            <w:vAlign w:val="center"/>
          </w:tcPr>
          <w:p w14:paraId="4FB5F27A" w14:textId="77777777" w:rsidR="008238E6" w:rsidRDefault="00D61AB3">
            <w:pPr>
              <w:spacing w:before="120" w:after="120"/>
              <w:jc w:val="center"/>
              <w:rPr>
                <w:color w:val="000000"/>
              </w:rPr>
            </w:pPr>
            <w:r>
              <w:rPr>
                <w:color w:val="000000"/>
              </w:rPr>
              <w:t>12</w:t>
            </w:r>
          </w:p>
        </w:tc>
        <w:tc>
          <w:tcPr>
            <w:tcW w:w="5959" w:type="dxa"/>
            <w:tcBorders>
              <w:top w:val="nil"/>
              <w:left w:val="nil"/>
              <w:bottom w:val="single" w:sz="4" w:space="0" w:color="000000"/>
              <w:right w:val="single" w:sz="4" w:space="0" w:color="000000"/>
            </w:tcBorders>
            <w:shd w:val="clear" w:color="auto" w:fill="auto"/>
            <w:vAlign w:val="center"/>
          </w:tcPr>
          <w:p w14:paraId="4FB5F27B" w14:textId="77777777" w:rsidR="008238E6" w:rsidRDefault="00D61AB3">
            <w:pPr>
              <w:spacing w:before="120" w:after="120"/>
              <w:jc w:val="left"/>
              <w:rPr>
                <w:color w:val="000000"/>
              </w:rPr>
            </w:pPr>
            <w:r>
              <w:rPr>
                <w:color w:val="000000"/>
              </w:rPr>
              <w:t>O método utilizado na estimativa da população-alvo e/ou subgrupo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FB5F27C"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7D"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7E"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7F"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80" w14:textId="77777777" w:rsidR="008238E6" w:rsidRDefault="008238E6">
            <w:pPr>
              <w:spacing w:before="120" w:after="120"/>
              <w:jc w:val="center"/>
              <w:rPr>
                <w:color w:val="000000"/>
              </w:rPr>
            </w:pPr>
          </w:p>
        </w:tc>
      </w:tr>
    </w:tbl>
    <w:p w14:paraId="4FB5F282" w14:textId="77777777" w:rsidR="008238E6" w:rsidRDefault="00D61AB3">
      <w:r>
        <w:br w:type="page"/>
      </w:r>
    </w:p>
    <w:tbl>
      <w:tblPr>
        <w:tblStyle w:val="afffffffff2"/>
        <w:tblW w:w="13471" w:type="dxa"/>
        <w:jc w:val="center"/>
        <w:tblLayout w:type="fixed"/>
        <w:tblLook w:val="0400" w:firstRow="0" w:lastRow="0" w:firstColumn="0" w:lastColumn="0" w:noHBand="0" w:noVBand="1"/>
      </w:tblPr>
      <w:tblGrid>
        <w:gridCol w:w="2233"/>
        <w:gridCol w:w="1134"/>
        <w:gridCol w:w="5959"/>
        <w:gridCol w:w="850"/>
        <w:gridCol w:w="851"/>
        <w:gridCol w:w="887"/>
        <w:gridCol w:w="814"/>
        <w:gridCol w:w="743"/>
      </w:tblGrid>
      <w:tr w:rsidR="008238E6" w14:paraId="4FB5F28B"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283" w14:textId="77777777" w:rsidR="008238E6" w:rsidRDefault="00D61AB3">
            <w:pPr>
              <w:spacing w:before="120" w:after="120"/>
              <w:jc w:val="center"/>
              <w:rPr>
                <w:b/>
              </w:rPr>
            </w:pPr>
            <w:r>
              <w:rPr>
                <w:b/>
              </w:rPr>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4FB5F284" w14:textId="77777777" w:rsidR="008238E6" w:rsidRDefault="00D61AB3">
            <w:pPr>
              <w:spacing w:before="120" w:after="120"/>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FB5F285" w14:textId="77777777" w:rsidR="008238E6" w:rsidRDefault="00D61AB3">
            <w:pPr>
              <w:spacing w:before="120" w:after="120"/>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4FB5F286" w14:textId="77777777" w:rsidR="008238E6" w:rsidRDefault="00D61AB3">
            <w:pPr>
              <w:spacing w:before="120" w:after="120"/>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4FB5F287" w14:textId="77777777" w:rsidR="008238E6" w:rsidRDefault="00D61AB3">
            <w:pPr>
              <w:spacing w:before="120" w:after="120"/>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4FB5F288" w14:textId="77777777" w:rsidR="008238E6" w:rsidRDefault="00D61AB3">
            <w:pPr>
              <w:spacing w:before="120" w:after="120"/>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4FB5F289" w14:textId="77777777" w:rsidR="008238E6" w:rsidRDefault="00D61AB3">
            <w:pPr>
              <w:spacing w:before="120" w:after="120"/>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4FB5F28A" w14:textId="77777777" w:rsidR="008238E6" w:rsidRDefault="00D61AB3">
            <w:pPr>
              <w:spacing w:before="120" w:after="120"/>
              <w:jc w:val="center"/>
              <w:rPr>
                <w:b/>
              </w:rPr>
            </w:pPr>
            <w:r>
              <w:rPr>
                <w:b/>
              </w:rPr>
              <w:t>Pág.nº</w:t>
            </w:r>
          </w:p>
        </w:tc>
      </w:tr>
      <w:tr w:rsidR="008238E6" w14:paraId="4FB5F28D"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28C" w14:textId="77777777" w:rsidR="008238E6" w:rsidRDefault="00D61AB3">
            <w:pPr>
              <w:spacing w:before="120" w:after="120"/>
              <w:jc w:val="left"/>
              <w:rPr>
                <w:b/>
              </w:rPr>
            </w:pPr>
            <w:r>
              <w:rPr>
                <w:b/>
              </w:rPr>
              <w:t>Custos</w:t>
            </w:r>
          </w:p>
        </w:tc>
      </w:tr>
      <w:tr w:rsidR="008238E6" w14:paraId="4FB5F29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8E" w14:textId="77777777" w:rsidR="008238E6" w:rsidRDefault="00D61AB3">
            <w:pPr>
              <w:spacing w:before="120" w:after="120"/>
              <w:jc w:val="left"/>
              <w:rPr>
                <w:color w:val="000000"/>
              </w:rPr>
            </w:pPr>
            <w:r>
              <w:rPr>
                <w:color w:val="000000"/>
              </w:rPr>
              <w:t>Componentes e fontes (intervenção)</w:t>
            </w:r>
          </w:p>
        </w:tc>
        <w:tc>
          <w:tcPr>
            <w:tcW w:w="1134" w:type="dxa"/>
            <w:tcBorders>
              <w:top w:val="nil"/>
              <w:left w:val="nil"/>
              <w:bottom w:val="single" w:sz="4" w:space="0" w:color="000000"/>
              <w:right w:val="single" w:sz="4" w:space="0" w:color="000000"/>
            </w:tcBorders>
            <w:shd w:val="clear" w:color="auto" w:fill="auto"/>
            <w:vAlign w:val="center"/>
          </w:tcPr>
          <w:p w14:paraId="4FB5F28F" w14:textId="77777777" w:rsidR="008238E6" w:rsidRDefault="00D61AB3">
            <w:pPr>
              <w:spacing w:before="120" w:after="120"/>
              <w:jc w:val="center"/>
              <w:rPr>
                <w:color w:val="000000"/>
              </w:rPr>
            </w:pPr>
            <w:r>
              <w:rPr>
                <w:color w:val="000000"/>
              </w:rPr>
              <w:t>13</w:t>
            </w:r>
          </w:p>
        </w:tc>
        <w:tc>
          <w:tcPr>
            <w:tcW w:w="5959" w:type="dxa"/>
            <w:tcBorders>
              <w:top w:val="nil"/>
              <w:left w:val="nil"/>
              <w:bottom w:val="single" w:sz="4" w:space="0" w:color="000000"/>
              <w:right w:val="single" w:sz="4" w:space="0" w:color="000000"/>
            </w:tcBorders>
            <w:shd w:val="clear" w:color="auto" w:fill="auto"/>
            <w:vAlign w:val="center"/>
          </w:tcPr>
          <w:p w14:paraId="4FB5F290" w14:textId="77777777" w:rsidR="008238E6" w:rsidRDefault="00D61AB3">
            <w:pPr>
              <w:spacing w:before="120" w:after="120"/>
              <w:jc w:val="left"/>
              <w:rPr>
                <w:color w:val="000000"/>
              </w:rPr>
            </w:pPr>
            <w:r>
              <w:rPr>
                <w:color w:val="000000"/>
              </w:rPr>
              <w:t>Os componentes e as fontes dos custos da intervenção são adequados e apresentados de forma clara.</w:t>
            </w:r>
          </w:p>
        </w:tc>
        <w:tc>
          <w:tcPr>
            <w:tcW w:w="850" w:type="dxa"/>
            <w:tcBorders>
              <w:top w:val="nil"/>
              <w:left w:val="nil"/>
              <w:bottom w:val="single" w:sz="4" w:space="0" w:color="000000"/>
              <w:right w:val="single" w:sz="4" w:space="0" w:color="000000"/>
            </w:tcBorders>
            <w:shd w:val="clear" w:color="auto" w:fill="auto"/>
            <w:vAlign w:val="center"/>
          </w:tcPr>
          <w:p w14:paraId="4FB5F291"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92"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93"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94"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95" w14:textId="77777777" w:rsidR="008238E6" w:rsidRDefault="008238E6">
            <w:pPr>
              <w:spacing w:before="120" w:after="120"/>
              <w:jc w:val="center"/>
              <w:rPr>
                <w:color w:val="000000"/>
              </w:rPr>
            </w:pPr>
          </w:p>
        </w:tc>
      </w:tr>
      <w:tr w:rsidR="008238E6" w14:paraId="4FB5F29F"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97" w14:textId="77777777" w:rsidR="008238E6" w:rsidRDefault="00D61AB3">
            <w:pPr>
              <w:spacing w:before="120" w:after="120"/>
              <w:jc w:val="left"/>
              <w:rPr>
                <w:color w:val="000000"/>
              </w:rPr>
            </w:pPr>
            <w:r>
              <w:rPr>
                <w:color w:val="000000"/>
              </w:rPr>
              <w:t>Componentes e fontes (comparadores)</w:t>
            </w:r>
          </w:p>
        </w:tc>
        <w:tc>
          <w:tcPr>
            <w:tcW w:w="1134" w:type="dxa"/>
            <w:tcBorders>
              <w:top w:val="nil"/>
              <w:left w:val="nil"/>
              <w:bottom w:val="single" w:sz="4" w:space="0" w:color="000000"/>
              <w:right w:val="single" w:sz="4" w:space="0" w:color="000000"/>
            </w:tcBorders>
            <w:shd w:val="clear" w:color="auto" w:fill="auto"/>
            <w:vAlign w:val="center"/>
          </w:tcPr>
          <w:p w14:paraId="4FB5F298" w14:textId="77777777" w:rsidR="008238E6" w:rsidRDefault="00D61AB3">
            <w:pPr>
              <w:spacing w:before="120" w:after="120"/>
              <w:jc w:val="center"/>
              <w:rPr>
                <w:color w:val="000000"/>
              </w:rPr>
            </w:pPr>
            <w:r>
              <w:rPr>
                <w:color w:val="000000"/>
              </w:rPr>
              <w:t>14</w:t>
            </w:r>
          </w:p>
        </w:tc>
        <w:tc>
          <w:tcPr>
            <w:tcW w:w="5959" w:type="dxa"/>
            <w:tcBorders>
              <w:top w:val="nil"/>
              <w:left w:val="nil"/>
              <w:bottom w:val="single" w:sz="4" w:space="0" w:color="000000"/>
              <w:right w:val="single" w:sz="4" w:space="0" w:color="000000"/>
            </w:tcBorders>
            <w:shd w:val="clear" w:color="auto" w:fill="auto"/>
            <w:vAlign w:val="center"/>
          </w:tcPr>
          <w:p w14:paraId="4FB5F299" w14:textId="77777777" w:rsidR="008238E6" w:rsidRDefault="00D61AB3">
            <w:pPr>
              <w:spacing w:before="120" w:after="120"/>
              <w:jc w:val="left"/>
              <w:rPr>
                <w:color w:val="000000"/>
              </w:rPr>
            </w:pPr>
            <w:r>
              <w:rPr>
                <w:color w:val="000000"/>
              </w:rPr>
              <w:t xml:space="preserve">Os componentes e as fontes dos custos do(s) </w:t>
            </w:r>
            <w:r>
              <w:t>comprador</w:t>
            </w:r>
            <w:r>
              <w:rPr>
                <w:color w:val="000000"/>
              </w:rPr>
              <w:t>(es) são adequados e apresentados de forma clara.</w:t>
            </w:r>
          </w:p>
        </w:tc>
        <w:tc>
          <w:tcPr>
            <w:tcW w:w="850" w:type="dxa"/>
            <w:tcBorders>
              <w:top w:val="nil"/>
              <w:left w:val="nil"/>
              <w:bottom w:val="single" w:sz="4" w:space="0" w:color="000000"/>
              <w:right w:val="single" w:sz="4" w:space="0" w:color="000000"/>
            </w:tcBorders>
            <w:shd w:val="clear" w:color="auto" w:fill="auto"/>
            <w:vAlign w:val="center"/>
          </w:tcPr>
          <w:p w14:paraId="4FB5F29A"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9B"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9C" w14:textId="77777777" w:rsidR="008238E6" w:rsidRDefault="008238E6">
            <w:pPr>
              <w:spacing w:before="120" w:after="120"/>
              <w:jc w:val="center"/>
              <w:rPr>
                <w:color w:val="000000"/>
                <w:sz w:val="20"/>
                <w:szCs w:val="20"/>
              </w:rPr>
            </w:pPr>
          </w:p>
        </w:tc>
        <w:tc>
          <w:tcPr>
            <w:tcW w:w="814" w:type="dxa"/>
            <w:tcBorders>
              <w:top w:val="nil"/>
              <w:left w:val="nil"/>
              <w:bottom w:val="single" w:sz="4" w:space="0" w:color="000000"/>
              <w:right w:val="single" w:sz="4" w:space="0" w:color="000000"/>
            </w:tcBorders>
            <w:shd w:val="clear" w:color="auto" w:fill="auto"/>
            <w:vAlign w:val="center"/>
          </w:tcPr>
          <w:p w14:paraId="4FB5F29D"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9E" w14:textId="77777777" w:rsidR="008238E6" w:rsidRDefault="008238E6">
            <w:pPr>
              <w:spacing w:before="120" w:after="120"/>
              <w:jc w:val="center"/>
              <w:rPr>
                <w:color w:val="000000"/>
              </w:rPr>
            </w:pPr>
          </w:p>
        </w:tc>
      </w:tr>
      <w:tr w:rsidR="008238E6" w14:paraId="4FB5F2A8"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0" w14:textId="77777777" w:rsidR="008238E6" w:rsidRDefault="00D61AB3">
            <w:pPr>
              <w:spacing w:before="120" w:after="120"/>
              <w:jc w:val="left"/>
              <w:rPr>
                <w:color w:val="000000"/>
              </w:rPr>
            </w:pPr>
            <w:r>
              <w:rPr>
                <w:color w:val="000000"/>
              </w:rPr>
              <w:t>Custos associados</w:t>
            </w:r>
          </w:p>
        </w:tc>
        <w:tc>
          <w:tcPr>
            <w:tcW w:w="1134" w:type="dxa"/>
            <w:tcBorders>
              <w:top w:val="single" w:sz="4" w:space="0" w:color="000000"/>
              <w:left w:val="nil"/>
              <w:bottom w:val="single" w:sz="4" w:space="0" w:color="000000"/>
              <w:right w:val="single" w:sz="4" w:space="0" w:color="000000"/>
            </w:tcBorders>
            <w:shd w:val="clear" w:color="auto" w:fill="auto"/>
            <w:vAlign w:val="center"/>
          </w:tcPr>
          <w:p w14:paraId="4FB5F2A1" w14:textId="77777777" w:rsidR="008238E6" w:rsidRDefault="00D61AB3">
            <w:pPr>
              <w:spacing w:before="120" w:after="120"/>
              <w:jc w:val="center"/>
              <w:rPr>
                <w:color w:val="000000"/>
              </w:rPr>
            </w:pPr>
            <w:r>
              <w:rPr>
                <w:color w:val="000000"/>
              </w:rPr>
              <w:t>15</w:t>
            </w:r>
          </w:p>
        </w:tc>
        <w:tc>
          <w:tcPr>
            <w:tcW w:w="5959" w:type="dxa"/>
            <w:tcBorders>
              <w:top w:val="single" w:sz="4" w:space="0" w:color="000000"/>
              <w:left w:val="nil"/>
              <w:bottom w:val="single" w:sz="4" w:space="0" w:color="000000"/>
              <w:right w:val="single" w:sz="4" w:space="0" w:color="000000"/>
            </w:tcBorders>
            <w:shd w:val="clear" w:color="auto" w:fill="auto"/>
            <w:vAlign w:val="center"/>
          </w:tcPr>
          <w:p w14:paraId="4FB5F2A2" w14:textId="77777777" w:rsidR="008238E6" w:rsidRDefault="00D61AB3">
            <w:pPr>
              <w:spacing w:before="120" w:after="120"/>
              <w:jc w:val="left"/>
              <w:rPr>
                <w:color w:val="000000"/>
              </w:rPr>
            </w:pPr>
            <w:r>
              <w:rPr>
                <w:color w:val="000000"/>
              </w:rPr>
              <w:t>Os componentes e as fontes dos custos associados (se houver) são adequados e apresentados de forma clara.</w:t>
            </w:r>
          </w:p>
        </w:tc>
        <w:tc>
          <w:tcPr>
            <w:tcW w:w="850" w:type="dxa"/>
            <w:tcBorders>
              <w:top w:val="single" w:sz="4" w:space="0" w:color="000000"/>
              <w:left w:val="nil"/>
              <w:bottom w:val="single" w:sz="4" w:space="0" w:color="000000"/>
              <w:right w:val="single" w:sz="4" w:space="0" w:color="000000"/>
            </w:tcBorders>
            <w:shd w:val="clear" w:color="auto" w:fill="auto"/>
            <w:vAlign w:val="center"/>
          </w:tcPr>
          <w:p w14:paraId="4FB5F2A3" w14:textId="77777777" w:rsidR="008238E6" w:rsidRDefault="008238E6">
            <w:pPr>
              <w:spacing w:before="120" w:after="120"/>
              <w:jc w:val="center"/>
              <w:rPr>
                <w:color w:val="000000"/>
              </w:rPr>
            </w:pP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FB5F2A4" w14:textId="77777777" w:rsidR="008238E6" w:rsidRDefault="008238E6">
            <w:pPr>
              <w:spacing w:before="120" w:after="120"/>
              <w:jc w:val="center"/>
              <w:rPr>
                <w:color w:val="000000"/>
              </w:rPr>
            </w:pPr>
          </w:p>
        </w:tc>
        <w:tc>
          <w:tcPr>
            <w:tcW w:w="887" w:type="dxa"/>
            <w:tcBorders>
              <w:top w:val="single" w:sz="4" w:space="0" w:color="000000"/>
              <w:left w:val="nil"/>
              <w:bottom w:val="single" w:sz="4" w:space="0" w:color="000000"/>
              <w:right w:val="single" w:sz="4" w:space="0" w:color="000000"/>
            </w:tcBorders>
            <w:shd w:val="clear" w:color="auto" w:fill="auto"/>
            <w:vAlign w:val="center"/>
          </w:tcPr>
          <w:p w14:paraId="4FB5F2A5" w14:textId="77777777" w:rsidR="008238E6" w:rsidRDefault="00D61AB3">
            <w:pPr>
              <w:spacing w:before="120" w:after="120"/>
              <w:jc w:val="center"/>
              <w:rPr>
                <w:color w:val="000000"/>
              </w:rPr>
            </w:pPr>
            <w:r>
              <w:t>X</w:t>
            </w:r>
          </w:p>
        </w:tc>
        <w:tc>
          <w:tcPr>
            <w:tcW w:w="814" w:type="dxa"/>
            <w:tcBorders>
              <w:top w:val="single" w:sz="4" w:space="0" w:color="000000"/>
              <w:left w:val="nil"/>
              <w:bottom w:val="single" w:sz="4" w:space="0" w:color="000000"/>
              <w:right w:val="single" w:sz="4" w:space="0" w:color="000000"/>
            </w:tcBorders>
            <w:shd w:val="clear" w:color="auto" w:fill="auto"/>
            <w:vAlign w:val="center"/>
          </w:tcPr>
          <w:p w14:paraId="4FB5F2A6" w14:textId="77777777" w:rsidR="008238E6" w:rsidRDefault="008238E6">
            <w:pPr>
              <w:spacing w:before="120" w:after="120"/>
              <w:jc w:val="center"/>
              <w:rPr>
                <w:color w:val="000000"/>
              </w:rPr>
            </w:pPr>
          </w:p>
        </w:tc>
        <w:tc>
          <w:tcPr>
            <w:tcW w:w="743" w:type="dxa"/>
            <w:tcBorders>
              <w:top w:val="single" w:sz="4" w:space="0" w:color="000000"/>
              <w:left w:val="nil"/>
              <w:bottom w:val="single" w:sz="4" w:space="0" w:color="000000"/>
              <w:right w:val="single" w:sz="4" w:space="0" w:color="000000"/>
            </w:tcBorders>
            <w:shd w:val="clear" w:color="auto" w:fill="auto"/>
            <w:vAlign w:val="center"/>
          </w:tcPr>
          <w:p w14:paraId="4FB5F2A7" w14:textId="77777777" w:rsidR="008238E6" w:rsidRDefault="008238E6">
            <w:pPr>
              <w:spacing w:before="120" w:after="120"/>
              <w:jc w:val="center"/>
              <w:rPr>
                <w:color w:val="000000"/>
              </w:rPr>
            </w:pPr>
          </w:p>
        </w:tc>
      </w:tr>
      <w:tr w:rsidR="008238E6" w14:paraId="4FB5F2B1"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9" w14:textId="77777777" w:rsidR="008238E6" w:rsidRDefault="00D61AB3">
            <w:pPr>
              <w:spacing w:before="120" w:after="120"/>
              <w:jc w:val="left"/>
              <w:rPr>
                <w:color w:val="000000"/>
              </w:rPr>
            </w:pPr>
            <w:r>
              <w:rPr>
                <w:color w:val="000000"/>
              </w:rPr>
              <w:t>Custos não incluídos</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A" w14:textId="77777777" w:rsidR="008238E6" w:rsidRDefault="00D61AB3">
            <w:pPr>
              <w:spacing w:before="120" w:after="120"/>
              <w:jc w:val="center"/>
              <w:rPr>
                <w:color w:val="000000"/>
              </w:rPr>
            </w:pPr>
            <w:r>
              <w:rPr>
                <w:color w:val="000000"/>
              </w:rPr>
              <w:t>16</w:t>
            </w:r>
          </w:p>
        </w:tc>
        <w:tc>
          <w:tcPr>
            <w:tcW w:w="5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B" w14:textId="77777777" w:rsidR="008238E6" w:rsidRDefault="00D61AB3">
            <w:pPr>
              <w:spacing w:before="120" w:after="120"/>
              <w:jc w:val="left"/>
              <w:rPr>
                <w:color w:val="000000"/>
              </w:rPr>
            </w:pPr>
            <w:r>
              <w:rPr>
                <w:color w:val="000000"/>
              </w:rPr>
              <w:t>Os custos não incluídos são apresentados de forma clara e a justificativa para a não inclusão é adequada.</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C" w14:textId="77777777" w:rsidR="008238E6" w:rsidRDefault="008238E6">
            <w:pPr>
              <w:spacing w:before="120" w:after="120"/>
              <w:jc w:val="center"/>
              <w:rPr>
                <w:color w:val="000000"/>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D" w14:textId="77777777" w:rsidR="008238E6" w:rsidRDefault="008238E6">
            <w:pPr>
              <w:spacing w:before="120" w:after="120"/>
              <w:jc w:val="center"/>
              <w:rPr>
                <w:color w:val="000000"/>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E" w14:textId="77777777" w:rsidR="008238E6" w:rsidRDefault="008238E6">
            <w:pPr>
              <w:spacing w:before="120" w:after="120"/>
              <w:jc w:val="center"/>
              <w:rPr>
                <w:color w:val="000000"/>
              </w:rPr>
            </w:pPr>
          </w:p>
        </w:tc>
        <w:tc>
          <w:tcPr>
            <w:tcW w:w="8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AF" w14:textId="77777777" w:rsidR="008238E6" w:rsidRDefault="00D61AB3">
            <w:pPr>
              <w:spacing w:before="120" w:after="120"/>
              <w:jc w:val="center"/>
              <w:rPr>
                <w:color w:val="000000"/>
              </w:rPr>
            </w:pPr>
            <w:r>
              <w:t>X</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B0" w14:textId="77777777" w:rsidR="008238E6" w:rsidRDefault="008238E6">
            <w:pPr>
              <w:spacing w:before="120" w:after="120"/>
              <w:jc w:val="center"/>
              <w:rPr>
                <w:color w:val="000000"/>
              </w:rPr>
            </w:pPr>
          </w:p>
        </w:tc>
      </w:tr>
      <w:tr w:rsidR="008238E6" w14:paraId="4FB5F2BA"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2B2" w14:textId="77777777" w:rsidR="008238E6" w:rsidRDefault="00D61AB3">
            <w:pPr>
              <w:spacing w:before="120" w:after="120"/>
              <w:jc w:val="left"/>
              <w:rPr>
                <w:color w:val="000000"/>
              </w:rPr>
            </w:pPr>
            <w:r>
              <w:rPr>
                <w:color w:val="000000"/>
              </w:rPr>
              <w:t>Ajustes</w:t>
            </w:r>
          </w:p>
        </w:tc>
        <w:tc>
          <w:tcPr>
            <w:tcW w:w="1134" w:type="dxa"/>
            <w:tcBorders>
              <w:top w:val="single" w:sz="4" w:space="0" w:color="000000"/>
              <w:left w:val="nil"/>
              <w:bottom w:val="single" w:sz="4" w:space="0" w:color="000000"/>
              <w:right w:val="single" w:sz="4" w:space="0" w:color="000000"/>
            </w:tcBorders>
            <w:shd w:val="clear" w:color="auto" w:fill="auto"/>
            <w:vAlign w:val="center"/>
          </w:tcPr>
          <w:p w14:paraId="4FB5F2B3" w14:textId="77777777" w:rsidR="008238E6" w:rsidRDefault="00D61AB3">
            <w:pPr>
              <w:spacing w:before="120" w:after="120"/>
              <w:jc w:val="center"/>
              <w:rPr>
                <w:color w:val="000000"/>
              </w:rPr>
            </w:pPr>
            <w:r>
              <w:rPr>
                <w:color w:val="000000"/>
              </w:rPr>
              <w:t>17</w:t>
            </w:r>
          </w:p>
        </w:tc>
        <w:tc>
          <w:tcPr>
            <w:tcW w:w="5959" w:type="dxa"/>
            <w:tcBorders>
              <w:top w:val="single" w:sz="4" w:space="0" w:color="000000"/>
              <w:left w:val="nil"/>
              <w:bottom w:val="single" w:sz="4" w:space="0" w:color="000000"/>
              <w:right w:val="single" w:sz="4" w:space="0" w:color="000000"/>
            </w:tcBorders>
            <w:shd w:val="clear" w:color="auto" w:fill="auto"/>
            <w:vAlign w:val="center"/>
          </w:tcPr>
          <w:p w14:paraId="4FB5F2B4" w14:textId="77777777" w:rsidR="008238E6" w:rsidRDefault="00D61AB3">
            <w:pPr>
              <w:spacing w:before="120" w:after="120"/>
              <w:jc w:val="left"/>
              <w:rPr>
                <w:color w:val="000000"/>
              </w:rPr>
            </w:pPr>
            <w:r>
              <w:rPr>
                <w:color w:val="000000"/>
              </w:rPr>
              <w:t>Os ajustes econômicos adotados são apresentados de forma clara e a justificativa para sua utilização é adequada.</w:t>
            </w:r>
          </w:p>
        </w:tc>
        <w:tc>
          <w:tcPr>
            <w:tcW w:w="850" w:type="dxa"/>
            <w:tcBorders>
              <w:top w:val="single" w:sz="4" w:space="0" w:color="000000"/>
              <w:left w:val="nil"/>
              <w:bottom w:val="single" w:sz="4" w:space="0" w:color="000000"/>
              <w:right w:val="single" w:sz="4" w:space="0" w:color="000000"/>
            </w:tcBorders>
            <w:shd w:val="clear" w:color="auto" w:fill="auto"/>
            <w:vAlign w:val="center"/>
          </w:tcPr>
          <w:p w14:paraId="4FB5F2B5" w14:textId="77777777" w:rsidR="008238E6" w:rsidRDefault="008238E6">
            <w:pPr>
              <w:spacing w:before="120" w:after="120"/>
              <w:jc w:val="center"/>
              <w:rPr>
                <w:color w:val="000000"/>
              </w:rPr>
            </w:pP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FB5F2B6" w14:textId="77777777" w:rsidR="008238E6" w:rsidRDefault="008238E6">
            <w:pPr>
              <w:spacing w:before="120" w:after="120"/>
              <w:jc w:val="center"/>
              <w:rPr>
                <w:color w:val="000000"/>
              </w:rPr>
            </w:pPr>
          </w:p>
        </w:tc>
        <w:tc>
          <w:tcPr>
            <w:tcW w:w="887" w:type="dxa"/>
            <w:tcBorders>
              <w:top w:val="single" w:sz="4" w:space="0" w:color="000000"/>
              <w:left w:val="nil"/>
              <w:bottom w:val="single" w:sz="4" w:space="0" w:color="000000"/>
              <w:right w:val="single" w:sz="4" w:space="0" w:color="000000"/>
            </w:tcBorders>
            <w:shd w:val="clear" w:color="auto" w:fill="auto"/>
            <w:vAlign w:val="center"/>
          </w:tcPr>
          <w:p w14:paraId="4FB5F2B7" w14:textId="77777777" w:rsidR="008238E6" w:rsidRDefault="008238E6">
            <w:pPr>
              <w:spacing w:before="120" w:after="120"/>
              <w:jc w:val="center"/>
              <w:rPr>
                <w:color w:val="000000"/>
              </w:rPr>
            </w:pPr>
          </w:p>
        </w:tc>
        <w:tc>
          <w:tcPr>
            <w:tcW w:w="814" w:type="dxa"/>
            <w:tcBorders>
              <w:top w:val="single" w:sz="4" w:space="0" w:color="000000"/>
              <w:left w:val="nil"/>
              <w:bottom w:val="single" w:sz="4" w:space="0" w:color="000000"/>
              <w:right w:val="single" w:sz="4" w:space="0" w:color="000000"/>
            </w:tcBorders>
            <w:shd w:val="clear" w:color="auto" w:fill="auto"/>
            <w:vAlign w:val="center"/>
          </w:tcPr>
          <w:p w14:paraId="4FB5F2B8" w14:textId="77777777" w:rsidR="008238E6" w:rsidRDefault="00D61AB3">
            <w:pPr>
              <w:spacing w:before="120" w:after="120"/>
              <w:jc w:val="center"/>
              <w:rPr>
                <w:color w:val="000000"/>
              </w:rPr>
            </w:pPr>
            <w:r>
              <w:t>X</w:t>
            </w:r>
          </w:p>
        </w:tc>
        <w:tc>
          <w:tcPr>
            <w:tcW w:w="743" w:type="dxa"/>
            <w:tcBorders>
              <w:top w:val="single" w:sz="4" w:space="0" w:color="000000"/>
              <w:left w:val="nil"/>
              <w:bottom w:val="single" w:sz="4" w:space="0" w:color="000000"/>
              <w:right w:val="single" w:sz="4" w:space="0" w:color="000000"/>
            </w:tcBorders>
            <w:shd w:val="clear" w:color="auto" w:fill="auto"/>
            <w:vAlign w:val="center"/>
          </w:tcPr>
          <w:p w14:paraId="4FB5F2B9" w14:textId="77777777" w:rsidR="008238E6" w:rsidRDefault="008238E6">
            <w:pPr>
              <w:spacing w:before="120" w:after="120"/>
              <w:jc w:val="center"/>
              <w:rPr>
                <w:color w:val="000000"/>
              </w:rPr>
            </w:pPr>
          </w:p>
        </w:tc>
      </w:tr>
    </w:tbl>
    <w:p w14:paraId="4FB5F2BB" w14:textId="77777777" w:rsidR="008238E6" w:rsidRDefault="00D61AB3">
      <w:r>
        <w:br w:type="page"/>
      </w:r>
    </w:p>
    <w:tbl>
      <w:tblPr>
        <w:tblStyle w:val="afffffffff3"/>
        <w:tblW w:w="13471" w:type="dxa"/>
        <w:jc w:val="center"/>
        <w:tblLayout w:type="fixed"/>
        <w:tblLook w:val="0400" w:firstRow="0" w:lastRow="0" w:firstColumn="0" w:lastColumn="0" w:noHBand="0" w:noVBand="1"/>
      </w:tblPr>
      <w:tblGrid>
        <w:gridCol w:w="2233"/>
        <w:gridCol w:w="1134"/>
        <w:gridCol w:w="5959"/>
        <w:gridCol w:w="850"/>
        <w:gridCol w:w="851"/>
        <w:gridCol w:w="887"/>
        <w:gridCol w:w="814"/>
        <w:gridCol w:w="743"/>
      </w:tblGrid>
      <w:tr w:rsidR="008238E6" w14:paraId="4FB5F2C4"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2BC" w14:textId="77777777" w:rsidR="008238E6" w:rsidRDefault="00D61AB3">
            <w:pPr>
              <w:spacing w:before="120" w:after="120"/>
              <w:jc w:val="center"/>
              <w:rPr>
                <w:b/>
              </w:rPr>
            </w:pPr>
            <w:r>
              <w:rPr>
                <w:b/>
              </w:rPr>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4FB5F2BD" w14:textId="77777777" w:rsidR="008238E6" w:rsidRDefault="00D61AB3">
            <w:pPr>
              <w:spacing w:before="120" w:after="120"/>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FB5F2BE" w14:textId="77777777" w:rsidR="008238E6" w:rsidRDefault="00D61AB3">
            <w:pPr>
              <w:spacing w:before="120" w:after="120"/>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4FB5F2BF" w14:textId="77777777" w:rsidR="008238E6" w:rsidRDefault="00D61AB3">
            <w:pPr>
              <w:spacing w:before="120" w:after="120"/>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4FB5F2C0" w14:textId="77777777" w:rsidR="008238E6" w:rsidRDefault="00D61AB3">
            <w:pPr>
              <w:spacing w:before="120" w:after="120"/>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4FB5F2C1" w14:textId="77777777" w:rsidR="008238E6" w:rsidRDefault="00D61AB3">
            <w:pPr>
              <w:spacing w:before="120" w:after="120"/>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4FB5F2C2" w14:textId="77777777" w:rsidR="008238E6" w:rsidRDefault="00D61AB3">
            <w:pPr>
              <w:spacing w:before="120" w:after="120"/>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4FB5F2C3" w14:textId="77777777" w:rsidR="008238E6" w:rsidRDefault="00D61AB3">
            <w:pPr>
              <w:spacing w:before="120" w:after="120"/>
              <w:jc w:val="center"/>
              <w:rPr>
                <w:b/>
              </w:rPr>
            </w:pPr>
            <w:r>
              <w:rPr>
                <w:b/>
              </w:rPr>
              <w:t>Pág.nº</w:t>
            </w:r>
          </w:p>
        </w:tc>
      </w:tr>
      <w:tr w:rsidR="008238E6" w14:paraId="4FB5F2C6"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2C5" w14:textId="77777777" w:rsidR="008238E6" w:rsidRDefault="00D61AB3">
            <w:pPr>
              <w:spacing w:before="120" w:after="120"/>
              <w:jc w:val="left"/>
              <w:rPr>
                <w:b/>
              </w:rPr>
            </w:pPr>
            <w:r>
              <w:rPr>
                <w:b/>
              </w:rPr>
              <w:t>Impacto orçamentário</w:t>
            </w:r>
          </w:p>
        </w:tc>
      </w:tr>
      <w:tr w:rsidR="008238E6" w14:paraId="4FB5F2CF"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C7" w14:textId="77777777" w:rsidR="008238E6" w:rsidRDefault="00D61AB3">
            <w:pPr>
              <w:spacing w:before="120" w:after="120"/>
              <w:jc w:val="left"/>
              <w:rPr>
                <w:color w:val="000000"/>
              </w:rPr>
            </w:pPr>
            <w:r>
              <w:rPr>
                <w:color w:val="000000"/>
              </w:rPr>
              <w:t>Método</w:t>
            </w:r>
          </w:p>
        </w:tc>
        <w:tc>
          <w:tcPr>
            <w:tcW w:w="1134" w:type="dxa"/>
            <w:tcBorders>
              <w:top w:val="nil"/>
              <w:left w:val="nil"/>
              <w:bottom w:val="single" w:sz="4" w:space="0" w:color="000000"/>
              <w:right w:val="single" w:sz="4" w:space="0" w:color="000000"/>
            </w:tcBorders>
            <w:shd w:val="clear" w:color="auto" w:fill="auto"/>
            <w:vAlign w:val="center"/>
          </w:tcPr>
          <w:p w14:paraId="4FB5F2C8" w14:textId="77777777" w:rsidR="008238E6" w:rsidRDefault="00D61AB3">
            <w:pPr>
              <w:spacing w:before="120" w:after="120"/>
              <w:jc w:val="center"/>
              <w:rPr>
                <w:color w:val="000000"/>
              </w:rPr>
            </w:pPr>
            <w:r>
              <w:rPr>
                <w:color w:val="000000"/>
              </w:rPr>
              <w:t>18</w:t>
            </w:r>
          </w:p>
        </w:tc>
        <w:tc>
          <w:tcPr>
            <w:tcW w:w="5959" w:type="dxa"/>
            <w:tcBorders>
              <w:top w:val="nil"/>
              <w:left w:val="nil"/>
              <w:bottom w:val="single" w:sz="4" w:space="0" w:color="000000"/>
              <w:right w:val="single" w:sz="4" w:space="0" w:color="000000"/>
            </w:tcBorders>
            <w:shd w:val="clear" w:color="auto" w:fill="auto"/>
            <w:vAlign w:val="center"/>
          </w:tcPr>
          <w:p w14:paraId="4FB5F2C9" w14:textId="77777777" w:rsidR="008238E6" w:rsidRDefault="00D61AB3">
            <w:pPr>
              <w:spacing w:before="120" w:after="120"/>
              <w:jc w:val="left"/>
              <w:rPr>
                <w:color w:val="000000"/>
              </w:rPr>
            </w:pPr>
            <w:r>
              <w:rPr>
                <w:color w:val="000000"/>
              </w:rPr>
              <w:t>O método adotado para estimativa do impacto orçamentário é apresentado de forma clara (</w:t>
            </w:r>
            <w:r>
              <w:rPr>
                <w:i/>
                <w:color w:val="000000"/>
              </w:rPr>
              <w:t>software</w:t>
            </w:r>
            <w:r>
              <w:rPr>
                <w:color w:val="000000"/>
              </w:rPr>
              <w:t>, modelo estático ou dinâmico etc.) e a justificativa para sua utilização é adequada.</w:t>
            </w:r>
          </w:p>
        </w:tc>
        <w:tc>
          <w:tcPr>
            <w:tcW w:w="850" w:type="dxa"/>
            <w:tcBorders>
              <w:top w:val="nil"/>
              <w:left w:val="nil"/>
              <w:bottom w:val="single" w:sz="4" w:space="0" w:color="000000"/>
              <w:right w:val="single" w:sz="4" w:space="0" w:color="000000"/>
            </w:tcBorders>
            <w:shd w:val="clear" w:color="auto" w:fill="auto"/>
            <w:vAlign w:val="center"/>
          </w:tcPr>
          <w:p w14:paraId="4FB5F2CA"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CB" w14:textId="77777777" w:rsidR="008238E6" w:rsidRDefault="00D61AB3">
            <w:pPr>
              <w:spacing w:before="120" w:after="120"/>
              <w:jc w:val="center"/>
              <w:rPr>
                <w:color w:val="000000"/>
              </w:rPr>
            </w:pPr>
            <w:r>
              <w:t>X</w:t>
            </w:r>
          </w:p>
        </w:tc>
        <w:tc>
          <w:tcPr>
            <w:tcW w:w="887" w:type="dxa"/>
            <w:tcBorders>
              <w:top w:val="nil"/>
              <w:left w:val="nil"/>
              <w:bottom w:val="single" w:sz="4" w:space="0" w:color="000000"/>
              <w:right w:val="single" w:sz="4" w:space="0" w:color="000000"/>
            </w:tcBorders>
            <w:shd w:val="clear" w:color="auto" w:fill="auto"/>
            <w:vAlign w:val="center"/>
          </w:tcPr>
          <w:p w14:paraId="4FB5F2CC"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CD"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CE" w14:textId="77777777" w:rsidR="008238E6" w:rsidRDefault="008238E6">
            <w:pPr>
              <w:spacing w:before="120" w:after="120"/>
              <w:jc w:val="center"/>
              <w:rPr>
                <w:color w:val="000000"/>
              </w:rPr>
            </w:pPr>
          </w:p>
        </w:tc>
      </w:tr>
      <w:tr w:rsidR="008238E6" w14:paraId="4FB5F2D8"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D0" w14:textId="77777777" w:rsidR="008238E6" w:rsidRDefault="00D61AB3">
            <w:pPr>
              <w:spacing w:before="120" w:after="120"/>
              <w:jc w:val="left"/>
              <w:rPr>
                <w:color w:val="000000"/>
              </w:rPr>
            </w:pPr>
            <w:r>
              <w:rPr>
                <w:color w:val="000000"/>
              </w:rPr>
              <w:t>Impacto por cenário</w:t>
            </w:r>
          </w:p>
        </w:tc>
        <w:tc>
          <w:tcPr>
            <w:tcW w:w="1134" w:type="dxa"/>
            <w:tcBorders>
              <w:top w:val="nil"/>
              <w:left w:val="nil"/>
              <w:bottom w:val="single" w:sz="4" w:space="0" w:color="000000"/>
              <w:right w:val="single" w:sz="4" w:space="0" w:color="000000"/>
            </w:tcBorders>
            <w:shd w:val="clear" w:color="auto" w:fill="auto"/>
            <w:vAlign w:val="center"/>
          </w:tcPr>
          <w:p w14:paraId="4FB5F2D1" w14:textId="77777777" w:rsidR="008238E6" w:rsidRDefault="00D61AB3">
            <w:pPr>
              <w:spacing w:before="120" w:after="120"/>
              <w:jc w:val="center"/>
              <w:rPr>
                <w:color w:val="000000"/>
              </w:rPr>
            </w:pPr>
            <w:r>
              <w:rPr>
                <w:color w:val="000000"/>
              </w:rPr>
              <w:t>19</w:t>
            </w:r>
          </w:p>
        </w:tc>
        <w:tc>
          <w:tcPr>
            <w:tcW w:w="5959" w:type="dxa"/>
            <w:tcBorders>
              <w:top w:val="nil"/>
              <w:left w:val="nil"/>
              <w:bottom w:val="single" w:sz="4" w:space="0" w:color="000000"/>
              <w:right w:val="single" w:sz="4" w:space="0" w:color="000000"/>
            </w:tcBorders>
            <w:shd w:val="clear" w:color="auto" w:fill="auto"/>
            <w:vAlign w:val="center"/>
          </w:tcPr>
          <w:p w14:paraId="4FB5F2D2" w14:textId="77777777" w:rsidR="008238E6" w:rsidRDefault="00D61AB3">
            <w:pPr>
              <w:spacing w:before="120" w:after="120"/>
              <w:jc w:val="left"/>
              <w:rPr>
                <w:color w:val="000000"/>
              </w:rPr>
            </w:pPr>
            <w:r>
              <w:rPr>
                <w:color w:val="000000"/>
              </w:rPr>
              <w:t>O impacto orçamentário é apresentado por cenário de forma clara, a cada ano e acumulado nos cinco anos.</w:t>
            </w:r>
          </w:p>
        </w:tc>
        <w:tc>
          <w:tcPr>
            <w:tcW w:w="850" w:type="dxa"/>
            <w:tcBorders>
              <w:top w:val="nil"/>
              <w:left w:val="nil"/>
              <w:bottom w:val="single" w:sz="4" w:space="0" w:color="000000"/>
              <w:right w:val="single" w:sz="4" w:space="0" w:color="000000"/>
            </w:tcBorders>
            <w:shd w:val="clear" w:color="auto" w:fill="auto"/>
            <w:vAlign w:val="center"/>
          </w:tcPr>
          <w:p w14:paraId="4FB5F2D3"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D4"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D5" w14:textId="77777777" w:rsidR="008238E6" w:rsidRDefault="00D61AB3">
            <w:pPr>
              <w:spacing w:before="120" w:after="120"/>
              <w:jc w:val="center"/>
              <w:rPr>
                <w:color w:val="000000"/>
                <w:sz w:val="20"/>
                <w:szCs w:val="20"/>
              </w:rPr>
            </w:pPr>
            <w:r>
              <w:rPr>
                <w:sz w:val="20"/>
                <w:szCs w:val="20"/>
              </w:rPr>
              <w:t>X</w:t>
            </w:r>
          </w:p>
        </w:tc>
        <w:tc>
          <w:tcPr>
            <w:tcW w:w="814" w:type="dxa"/>
            <w:tcBorders>
              <w:top w:val="nil"/>
              <w:left w:val="nil"/>
              <w:bottom w:val="single" w:sz="4" w:space="0" w:color="000000"/>
              <w:right w:val="single" w:sz="4" w:space="0" w:color="000000"/>
            </w:tcBorders>
            <w:shd w:val="clear" w:color="auto" w:fill="auto"/>
            <w:vAlign w:val="center"/>
          </w:tcPr>
          <w:p w14:paraId="4FB5F2D6"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D7" w14:textId="77777777" w:rsidR="008238E6" w:rsidRDefault="008238E6">
            <w:pPr>
              <w:spacing w:before="120" w:after="120"/>
              <w:jc w:val="center"/>
              <w:rPr>
                <w:color w:val="000000"/>
              </w:rPr>
            </w:pPr>
          </w:p>
        </w:tc>
      </w:tr>
      <w:tr w:rsidR="008238E6" w14:paraId="4FB5F2E1" w14:textId="77777777">
        <w:trPr>
          <w:trHeight w:val="799"/>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D9" w14:textId="77777777" w:rsidR="008238E6" w:rsidRDefault="00D61AB3">
            <w:pPr>
              <w:spacing w:before="120" w:after="120"/>
              <w:jc w:val="left"/>
              <w:rPr>
                <w:color w:val="000000"/>
              </w:rPr>
            </w:pPr>
            <w:r>
              <w:rPr>
                <w:color w:val="000000"/>
              </w:rPr>
              <w:t>Impacto incremental</w:t>
            </w:r>
          </w:p>
        </w:tc>
        <w:tc>
          <w:tcPr>
            <w:tcW w:w="1134" w:type="dxa"/>
            <w:tcBorders>
              <w:top w:val="nil"/>
              <w:left w:val="nil"/>
              <w:bottom w:val="single" w:sz="4" w:space="0" w:color="000000"/>
              <w:right w:val="single" w:sz="4" w:space="0" w:color="000000"/>
            </w:tcBorders>
            <w:shd w:val="clear" w:color="auto" w:fill="auto"/>
            <w:vAlign w:val="center"/>
          </w:tcPr>
          <w:p w14:paraId="4FB5F2DA" w14:textId="77777777" w:rsidR="008238E6" w:rsidRDefault="00D61AB3">
            <w:pPr>
              <w:spacing w:before="120" w:after="120"/>
              <w:jc w:val="center"/>
              <w:rPr>
                <w:color w:val="000000"/>
              </w:rPr>
            </w:pPr>
            <w:r>
              <w:rPr>
                <w:color w:val="000000"/>
              </w:rPr>
              <w:t>20</w:t>
            </w:r>
          </w:p>
        </w:tc>
        <w:tc>
          <w:tcPr>
            <w:tcW w:w="5959" w:type="dxa"/>
            <w:tcBorders>
              <w:top w:val="nil"/>
              <w:left w:val="nil"/>
              <w:bottom w:val="single" w:sz="4" w:space="0" w:color="000000"/>
              <w:right w:val="single" w:sz="4" w:space="0" w:color="000000"/>
            </w:tcBorders>
            <w:shd w:val="clear" w:color="auto" w:fill="auto"/>
            <w:vAlign w:val="center"/>
          </w:tcPr>
          <w:p w14:paraId="4FB5F2DB" w14:textId="77777777" w:rsidR="008238E6" w:rsidRDefault="00D61AB3">
            <w:pPr>
              <w:spacing w:before="120" w:after="120"/>
              <w:jc w:val="left"/>
              <w:rPr>
                <w:color w:val="000000"/>
              </w:rPr>
            </w:pPr>
            <w:r>
              <w:rPr>
                <w:color w:val="000000"/>
              </w:rPr>
              <w:t>O impacto orçamentário incremental dos cenários alternativos em relação ao cenário de referência é apresentado de forma clara, a cada ano e acumulado nos cinco anos.</w:t>
            </w:r>
          </w:p>
        </w:tc>
        <w:tc>
          <w:tcPr>
            <w:tcW w:w="850" w:type="dxa"/>
            <w:tcBorders>
              <w:top w:val="nil"/>
              <w:left w:val="nil"/>
              <w:bottom w:val="single" w:sz="4" w:space="0" w:color="000000"/>
              <w:right w:val="single" w:sz="4" w:space="0" w:color="000000"/>
            </w:tcBorders>
            <w:shd w:val="clear" w:color="auto" w:fill="auto"/>
            <w:vAlign w:val="center"/>
          </w:tcPr>
          <w:p w14:paraId="4FB5F2DC"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DD"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DE"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DF"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E0" w14:textId="77777777" w:rsidR="008238E6" w:rsidRDefault="008238E6">
            <w:pPr>
              <w:spacing w:before="120" w:after="120"/>
              <w:jc w:val="center"/>
              <w:rPr>
                <w:color w:val="000000"/>
              </w:rPr>
            </w:pPr>
          </w:p>
        </w:tc>
      </w:tr>
      <w:tr w:rsidR="008238E6" w14:paraId="4FB5F2EA" w14:textId="77777777">
        <w:trPr>
          <w:trHeight w:val="799"/>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E2" w14:textId="77777777" w:rsidR="008238E6" w:rsidRDefault="00D61AB3">
            <w:pPr>
              <w:spacing w:before="120" w:after="120"/>
              <w:jc w:val="left"/>
              <w:rPr>
                <w:color w:val="000000"/>
              </w:rPr>
            </w:pPr>
            <w:r>
              <w:rPr>
                <w:color w:val="000000"/>
              </w:rPr>
              <w:t>Análise de sensibilidade</w:t>
            </w:r>
          </w:p>
        </w:tc>
        <w:tc>
          <w:tcPr>
            <w:tcW w:w="1134" w:type="dxa"/>
            <w:tcBorders>
              <w:top w:val="nil"/>
              <w:left w:val="nil"/>
              <w:bottom w:val="single" w:sz="4" w:space="0" w:color="000000"/>
              <w:right w:val="single" w:sz="4" w:space="0" w:color="000000"/>
            </w:tcBorders>
            <w:shd w:val="clear" w:color="auto" w:fill="auto"/>
            <w:vAlign w:val="center"/>
          </w:tcPr>
          <w:p w14:paraId="4FB5F2E3" w14:textId="77777777" w:rsidR="008238E6" w:rsidRDefault="00D61AB3">
            <w:pPr>
              <w:spacing w:before="120" w:after="120"/>
              <w:jc w:val="center"/>
              <w:rPr>
                <w:color w:val="000000"/>
              </w:rPr>
            </w:pPr>
            <w:r>
              <w:rPr>
                <w:color w:val="000000"/>
              </w:rPr>
              <w:t>21</w:t>
            </w:r>
          </w:p>
        </w:tc>
        <w:tc>
          <w:tcPr>
            <w:tcW w:w="5959" w:type="dxa"/>
            <w:tcBorders>
              <w:top w:val="nil"/>
              <w:left w:val="nil"/>
              <w:bottom w:val="single" w:sz="4" w:space="0" w:color="000000"/>
              <w:right w:val="single" w:sz="4" w:space="0" w:color="000000"/>
            </w:tcBorders>
            <w:shd w:val="clear" w:color="auto" w:fill="auto"/>
            <w:vAlign w:val="center"/>
          </w:tcPr>
          <w:p w14:paraId="4FB5F2E4" w14:textId="77777777" w:rsidR="008238E6" w:rsidRDefault="00D61AB3">
            <w:pPr>
              <w:spacing w:before="120" w:after="120"/>
              <w:jc w:val="left"/>
              <w:rPr>
                <w:color w:val="000000"/>
              </w:rPr>
            </w:pPr>
            <w:r>
              <w:rPr>
                <w:color w:val="000000"/>
              </w:rPr>
              <w:t>A análise de sensibilidade (se houver) é apresentada de forma clara e considera todos os parâmetros relevantes, tais como população-alvo, quotas de mercado, custo de tecnologias, ocorrência de eventos relevantes (eventos adversos e tempo/custo hospitalização).</w:t>
            </w:r>
          </w:p>
        </w:tc>
        <w:tc>
          <w:tcPr>
            <w:tcW w:w="850" w:type="dxa"/>
            <w:tcBorders>
              <w:top w:val="nil"/>
              <w:left w:val="nil"/>
              <w:bottom w:val="single" w:sz="4" w:space="0" w:color="000000"/>
              <w:right w:val="single" w:sz="4" w:space="0" w:color="000000"/>
            </w:tcBorders>
            <w:shd w:val="clear" w:color="auto" w:fill="auto"/>
            <w:vAlign w:val="center"/>
          </w:tcPr>
          <w:p w14:paraId="4FB5F2E5" w14:textId="77777777" w:rsidR="008238E6" w:rsidRDefault="00D61AB3">
            <w:pPr>
              <w:spacing w:before="120" w:after="120"/>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B5F2E6"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E7"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2E8"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E9" w14:textId="77777777" w:rsidR="008238E6" w:rsidRDefault="008238E6">
            <w:pPr>
              <w:spacing w:before="120" w:after="120"/>
              <w:jc w:val="center"/>
              <w:rPr>
                <w:color w:val="000000"/>
              </w:rPr>
            </w:pPr>
          </w:p>
        </w:tc>
      </w:tr>
      <w:tr w:rsidR="008238E6" w14:paraId="4FB5F2EC"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2EB" w14:textId="77777777" w:rsidR="008238E6" w:rsidRDefault="00D61AB3">
            <w:pPr>
              <w:spacing w:before="120" w:after="120"/>
              <w:jc w:val="left"/>
              <w:rPr>
                <w:b/>
              </w:rPr>
            </w:pPr>
            <w:r>
              <w:rPr>
                <w:b/>
              </w:rPr>
              <w:t>Considerações finais</w:t>
            </w:r>
          </w:p>
        </w:tc>
      </w:tr>
      <w:tr w:rsidR="008238E6" w14:paraId="4FB5F2F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ED" w14:textId="77777777" w:rsidR="008238E6" w:rsidRDefault="00D61AB3">
            <w:pPr>
              <w:spacing w:before="120" w:after="120"/>
              <w:jc w:val="left"/>
              <w:rPr>
                <w:color w:val="000000"/>
              </w:rPr>
            </w:pPr>
            <w:r>
              <w:rPr>
                <w:color w:val="000000"/>
              </w:rPr>
              <w:t>Discussão</w:t>
            </w:r>
          </w:p>
        </w:tc>
        <w:tc>
          <w:tcPr>
            <w:tcW w:w="1134" w:type="dxa"/>
            <w:tcBorders>
              <w:top w:val="nil"/>
              <w:left w:val="nil"/>
              <w:bottom w:val="single" w:sz="4" w:space="0" w:color="000000"/>
              <w:right w:val="single" w:sz="4" w:space="0" w:color="000000"/>
            </w:tcBorders>
            <w:shd w:val="clear" w:color="auto" w:fill="auto"/>
            <w:vAlign w:val="center"/>
          </w:tcPr>
          <w:p w14:paraId="4FB5F2EE" w14:textId="77777777" w:rsidR="008238E6" w:rsidRDefault="00D61AB3">
            <w:pPr>
              <w:spacing w:before="120" w:after="120"/>
              <w:jc w:val="center"/>
              <w:rPr>
                <w:color w:val="000000"/>
              </w:rPr>
            </w:pPr>
            <w:r>
              <w:rPr>
                <w:color w:val="000000"/>
              </w:rPr>
              <w:t>22</w:t>
            </w:r>
          </w:p>
        </w:tc>
        <w:tc>
          <w:tcPr>
            <w:tcW w:w="5959" w:type="dxa"/>
            <w:tcBorders>
              <w:top w:val="nil"/>
              <w:left w:val="nil"/>
              <w:bottom w:val="single" w:sz="4" w:space="0" w:color="000000"/>
              <w:right w:val="single" w:sz="4" w:space="0" w:color="000000"/>
            </w:tcBorders>
            <w:shd w:val="clear" w:color="auto" w:fill="auto"/>
            <w:vAlign w:val="center"/>
          </w:tcPr>
          <w:p w14:paraId="4FB5F2EF" w14:textId="77777777" w:rsidR="008238E6" w:rsidRDefault="00D61AB3">
            <w:pPr>
              <w:spacing w:before="120" w:after="120"/>
              <w:jc w:val="left"/>
              <w:rPr>
                <w:color w:val="000000"/>
              </w:rPr>
            </w:pPr>
            <w:r>
              <w:rPr>
                <w:color w:val="000000"/>
              </w:rPr>
              <w:t>São apresentadas considerações sobre as limitações do estudo, a aplicabilidade da análise e a generalização dos achados.</w:t>
            </w:r>
          </w:p>
        </w:tc>
        <w:tc>
          <w:tcPr>
            <w:tcW w:w="850" w:type="dxa"/>
            <w:tcBorders>
              <w:top w:val="nil"/>
              <w:left w:val="nil"/>
              <w:bottom w:val="single" w:sz="4" w:space="0" w:color="000000"/>
              <w:right w:val="single" w:sz="4" w:space="0" w:color="000000"/>
            </w:tcBorders>
            <w:shd w:val="clear" w:color="auto" w:fill="auto"/>
            <w:vAlign w:val="center"/>
          </w:tcPr>
          <w:p w14:paraId="4FB5F2F0"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F1"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F2"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F3"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F4" w14:textId="77777777" w:rsidR="008238E6" w:rsidRDefault="008238E6">
            <w:pPr>
              <w:spacing w:before="120" w:after="120"/>
              <w:jc w:val="center"/>
              <w:rPr>
                <w:color w:val="000000"/>
              </w:rPr>
            </w:pPr>
          </w:p>
        </w:tc>
      </w:tr>
      <w:tr w:rsidR="008238E6" w14:paraId="4FB5F2FE"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2F6" w14:textId="77777777" w:rsidR="008238E6" w:rsidRDefault="00D61AB3">
            <w:pPr>
              <w:spacing w:before="120" w:after="120"/>
              <w:jc w:val="left"/>
              <w:rPr>
                <w:color w:val="000000"/>
              </w:rPr>
            </w:pPr>
            <w:r>
              <w:rPr>
                <w:color w:val="000000"/>
              </w:rPr>
              <w:t>Conclusão</w:t>
            </w:r>
          </w:p>
        </w:tc>
        <w:tc>
          <w:tcPr>
            <w:tcW w:w="1134" w:type="dxa"/>
            <w:tcBorders>
              <w:top w:val="nil"/>
              <w:left w:val="nil"/>
              <w:bottom w:val="single" w:sz="4" w:space="0" w:color="000000"/>
              <w:right w:val="single" w:sz="4" w:space="0" w:color="000000"/>
            </w:tcBorders>
            <w:shd w:val="clear" w:color="auto" w:fill="auto"/>
            <w:vAlign w:val="center"/>
          </w:tcPr>
          <w:p w14:paraId="4FB5F2F7" w14:textId="77777777" w:rsidR="008238E6" w:rsidRDefault="00D61AB3">
            <w:pPr>
              <w:spacing w:before="120" w:after="120"/>
              <w:jc w:val="center"/>
              <w:rPr>
                <w:color w:val="000000"/>
              </w:rPr>
            </w:pPr>
            <w:r>
              <w:rPr>
                <w:color w:val="000000"/>
              </w:rPr>
              <w:t>23</w:t>
            </w:r>
          </w:p>
        </w:tc>
        <w:tc>
          <w:tcPr>
            <w:tcW w:w="5959" w:type="dxa"/>
            <w:tcBorders>
              <w:top w:val="nil"/>
              <w:left w:val="nil"/>
              <w:bottom w:val="single" w:sz="4" w:space="0" w:color="000000"/>
              <w:right w:val="single" w:sz="4" w:space="0" w:color="000000"/>
            </w:tcBorders>
            <w:shd w:val="clear" w:color="auto" w:fill="auto"/>
            <w:vAlign w:val="center"/>
          </w:tcPr>
          <w:p w14:paraId="4FB5F2F8" w14:textId="77777777" w:rsidR="008238E6" w:rsidRDefault="00D61AB3">
            <w:pPr>
              <w:spacing w:before="120" w:after="120"/>
              <w:jc w:val="left"/>
              <w:rPr>
                <w:color w:val="000000"/>
              </w:rPr>
            </w:pPr>
            <w:r>
              <w:rPr>
                <w:color w:val="000000"/>
              </w:rPr>
              <w:t>A conclusão geral da análise reflete adequadamente os achados e apresenta recomendação quanto à incorporação da tecnologia.</w:t>
            </w:r>
          </w:p>
        </w:tc>
        <w:tc>
          <w:tcPr>
            <w:tcW w:w="850" w:type="dxa"/>
            <w:tcBorders>
              <w:top w:val="nil"/>
              <w:left w:val="nil"/>
              <w:bottom w:val="single" w:sz="4" w:space="0" w:color="000000"/>
              <w:right w:val="single" w:sz="4" w:space="0" w:color="000000"/>
            </w:tcBorders>
            <w:shd w:val="clear" w:color="auto" w:fill="auto"/>
            <w:vAlign w:val="center"/>
          </w:tcPr>
          <w:p w14:paraId="4FB5F2F9"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2FA"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2FB"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2FC"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2FD" w14:textId="77777777" w:rsidR="008238E6" w:rsidRDefault="008238E6">
            <w:pPr>
              <w:spacing w:before="120" w:after="120"/>
              <w:jc w:val="center"/>
              <w:rPr>
                <w:color w:val="000000"/>
              </w:rPr>
            </w:pPr>
          </w:p>
        </w:tc>
      </w:tr>
    </w:tbl>
    <w:p w14:paraId="4FB5F2FF" w14:textId="77777777" w:rsidR="008238E6" w:rsidRDefault="00D61AB3">
      <w:r>
        <w:br w:type="page"/>
      </w:r>
    </w:p>
    <w:tbl>
      <w:tblPr>
        <w:tblStyle w:val="afffffffff4"/>
        <w:tblW w:w="13471" w:type="dxa"/>
        <w:jc w:val="center"/>
        <w:tblLayout w:type="fixed"/>
        <w:tblLook w:val="0400" w:firstRow="0" w:lastRow="0" w:firstColumn="0" w:lastColumn="0" w:noHBand="0" w:noVBand="1"/>
      </w:tblPr>
      <w:tblGrid>
        <w:gridCol w:w="2233"/>
        <w:gridCol w:w="1134"/>
        <w:gridCol w:w="5959"/>
        <w:gridCol w:w="850"/>
        <w:gridCol w:w="851"/>
        <w:gridCol w:w="887"/>
        <w:gridCol w:w="814"/>
        <w:gridCol w:w="743"/>
      </w:tblGrid>
      <w:tr w:rsidR="008238E6" w14:paraId="4FB5F308"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0" w14:textId="77777777" w:rsidR="008238E6" w:rsidRDefault="00D61AB3">
            <w:pPr>
              <w:spacing w:before="120" w:after="120"/>
              <w:jc w:val="center"/>
              <w:rPr>
                <w:b/>
              </w:rPr>
            </w:pPr>
            <w:r>
              <w:rPr>
                <w:b/>
              </w:rPr>
              <w:t>Seção/Item</w:t>
            </w:r>
          </w:p>
        </w:tc>
        <w:tc>
          <w:tcPr>
            <w:tcW w:w="1134"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1" w14:textId="77777777" w:rsidR="008238E6" w:rsidRDefault="00D61AB3">
            <w:pPr>
              <w:spacing w:before="120" w:after="120"/>
              <w:jc w:val="center"/>
              <w:rPr>
                <w:b/>
              </w:rPr>
            </w:pPr>
            <w:r>
              <w:rPr>
                <w:b/>
              </w:rPr>
              <w:t>Item n°</w:t>
            </w:r>
          </w:p>
        </w:tc>
        <w:tc>
          <w:tcPr>
            <w:tcW w:w="5959"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2" w14:textId="77777777" w:rsidR="008238E6" w:rsidRDefault="00D61AB3">
            <w:pPr>
              <w:spacing w:before="120" w:after="120"/>
              <w:jc w:val="center"/>
              <w:rPr>
                <w:b/>
              </w:rPr>
            </w:pPr>
            <w:r>
              <w:rPr>
                <w:b/>
              </w:rPr>
              <w:t>Conteúdo para verificação</w:t>
            </w:r>
          </w:p>
        </w:tc>
        <w:tc>
          <w:tcPr>
            <w:tcW w:w="850"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3" w14:textId="77777777" w:rsidR="008238E6" w:rsidRDefault="00D61AB3">
            <w:pPr>
              <w:spacing w:before="120" w:after="120"/>
              <w:jc w:val="center"/>
              <w:rPr>
                <w:b/>
              </w:rPr>
            </w:pPr>
            <w:r>
              <w:rPr>
                <w:b/>
              </w:rPr>
              <w:t>Sim</w:t>
            </w:r>
          </w:p>
        </w:tc>
        <w:tc>
          <w:tcPr>
            <w:tcW w:w="85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4" w14:textId="77777777" w:rsidR="008238E6" w:rsidRDefault="00D61AB3">
            <w:pPr>
              <w:spacing w:before="120" w:after="120"/>
              <w:jc w:val="center"/>
              <w:rPr>
                <w:b/>
              </w:rPr>
            </w:pPr>
            <w:r>
              <w:rPr>
                <w:b/>
              </w:rPr>
              <w:t>Não</w:t>
            </w:r>
          </w:p>
        </w:tc>
        <w:tc>
          <w:tcPr>
            <w:tcW w:w="887"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5" w14:textId="77777777" w:rsidR="008238E6" w:rsidRDefault="00D61AB3">
            <w:pPr>
              <w:spacing w:before="120" w:after="120"/>
              <w:jc w:val="center"/>
              <w:rPr>
                <w:b/>
              </w:rPr>
            </w:pPr>
            <w:r>
              <w:rPr>
                <w:b/>
              </w:rPr>
              <w:t>Parcial</w:t>
            </w:r>
          </w:p>
        </w:tc>
        <w:tc>
          <w:tcPr>
            <w:tcW w:w="814"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6" w14:textId="77777777" w:rsidR="008238E6" w:rsidRDefault="00D61AB3">
            <w:pPr>
              <w:spacing w:before="120" w:after="120"/>
              <w:jc w:val="center"/>
              <w:rPr>
                <w:b/>
              </w:rPr>
            </w:pPr>
            <w:r>
              <w:rPr>
                <w:b/>
              </w:rPr>
              <w:t>NA</w:t>
            </w:r>
          </w:p>
        </w:tc>
        <w:tc>
          <w:tcPr>
            <w:tcW w:w="74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07" w14:textId="77777777" w:rsidR="008238E6" w:rsidRDefault="00D61AB3">
            <w:pPr>
              <w:spacing w:before="120" w:after="120"/>
              <w:jc w:val="center"/>
              <w:rPr>
                <w:b/>
              </w:rPr>
            </w:pPr>
            <w:r>
              <w:rPr>
                <w:b/>
              </w:rPr>
              <w:t>Pág.nº</w:t>
            </w:r>
          </w:p>
        </w:tc>
      </w:tr>
      <w:tr w:rsidR="008238E6" w14:paraId="4FB5F30A"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FB5F309" w14:textId="77777777" w:rsidR="008238E6" w:rsidRDefault="00D61AB3">
            <w:pPr>
              <w:spacing w:before="120" w:after="120"/>
              <w:jc w:val="left"/>
              <w:rPr>
                <w:b/>
              </w:rPr>
            </w:pPr>
            <w:r>
              <w:rPr>
                <w:b/>
              </w:rPr>
              <w:t>Outros</w:t>
            </w:r>
          </w:p>
        </w:tc>
      </w:tr>
      <w:tr w:rsidR="008238E6" w14:paraId="4FB5F313"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30B" w14:textId="77777777" w:rsidR="008238E6" w:rsidRDefault="00D61AB3">
            <w:pPr>
              <w:spacing w:before="120" w:after="120"/>
              <w:jc w:val="left"/>
              <w:rPr>
                <w:color w:val="000000"/>
              </w:rPr>
            </w:pPr>
            <w:r>
              <w:rPr>
                <w:color w:val="000000"/>
              </w:rPr>
              <w:t>Conflito de interesse</w:t>
            </w:r>
          </w:p>
        </w:tc>
        <w:tc>
          <w:tcPr>
            <w:tcW w:w="1134" w:type="dxa"/>
            <w:tcBorders>
              <w:top w:val="nil"/>
              <w:left w:val="nil"/>
              <w:bottom w:val="single" w:sz="4" w:space="0" w:color="000000"/>
              <w:right w:val="single" w:sz="4" w:space="0" w:color="000000"/>
            </w:tcBorders>
            <w:shd w:val="clear" w:color="auto" w:fill="auto"/>
            <w:vAlign w:val="center"/>
          </w:tcPr>
          <w:p w14:paraId="4FB5F30C" w14:textId="77777777" w:rsidR="008238E6" w:rsidRDefault="00D61AB3">
            <w:pPr>
              <w:spacing w:before="120" w:after="120"/>
              <w:jc w:val="center"/>
              <w:rPr>
                <w:color w:val="000000"/>
              </w:rPr>
            </w:pPr>
            <w:r>
              <w:rPr>
                <w:color w:val="000000"/>
              </w:rPr>
              <w:t>24</w:t>
            </w:r>
          </w:p>
        </w:tc>
        <w:tc>
          <w:tcPr>
            <w:tcW w:w="5959" w:type="dxa"/>
            <w:tcBorders>
              <w:top w:val="nil"/>
              <w:left w:val="nil"/>
              <w:bottom w:val="single" w:sz="4" w:space="0" w:color="000000"/>
              <w:right w:val="single" w:sz="4" w:space="0" w:color="000000"/>
            </w:tcBorders>
            <w:shd w:val="clear" w:color="auto" w:fill="auto"/>
            <w:vAlign w:val="center"/>
          </w:tcPr>
          <w:p w14:paraId="4FB5F30D" w14:textId="77777777" w:rsidR="008238E6" w:rsidRDefault="00D61AB3">
            <w:pPr>
              <w:spacing w:before="120" w:after="120"/>
              <w:jc w:val="left"/>
              <w:rPr>
                <w:color w:val="000000"/>
              </w:rPr>
            </w:pPr>
            <w:r>
              <w:rPr>
                <w:color w:val="000000"/>
              </w:rPr>
              <w:t>O potencial conflito de interesse financeiro e não financeiro dos autores do estudo é declarado de forma clara.</w:t>
            </w:r>
          </w:p>
        </w:tc>
        <w:tc>
          <w:tcPr>
            <w:tcW w:w="850" w:type="dxa"/>
            <w:tcBorders>
              <w:top w:val="nil"/>
              <w:left w:val="nil"/>
              <w:bottom w:val="single" w:sz="4" w:space="0" w:color="000000"/>
              <w:right w:val="single" w:sz="4" w:space="0" w:color="000000"/>
            </w:tcBorders>
            <w:shd w:val="clear" w:color="auto" w:fill="auto"/>
            <w:vAlign w:val="center"/>
          </w:tcPr>
          <w:p w14:paraId="4FB5F30E"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30F"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310" w14:textId="77777777" w:rsidR="008238E6" w:rsidRDefault="008238E6">
            <w:pPr>
              <w:spacing w:before="120" w:after="120"/>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4FB5F311" w14:textId="77777777" w:rsidR="008238E6" w:rsidRDefault="00D61AB3">
            <w:pPr>
              <w:spacing w:before="120" w:after="120"/>
              <w:jc w:val="center"/>
              <w:rPr>
                <w:color w:val="000000"/>
              </w:rPr>
            </w:pPr>
            <w:r>
              <w:rPr>
                <w:color w:val="000000"/>
              </w:rPr>
              <w:t>x</w:t>
            </w:r>
          </w:p>
        </w:tc>
        <w:tc>
          <w:tcPr>
            <w:tcW w:w="743" w:type="dxa"/>
            <w:tcBorders>
              <w:top w:val="nil"/>
              <w:left w:val="nil"/>
              <w:bottom w:val="single" w:sz="4" w:space="0" w:color="000000"/>
              <w:right w:val="single" w:sz="4" w:space="0" w:color="000000"/>
            </w:tcBorders>
            <w:shd w:val="clear" w:color="auto" w:fill="auto"/>
            <w:vAlign w:val="center"/>
          </w:tcPr>
          <w:p w14:paraId="4FB5F312" w14:textId="77777777" w:rsidR="008238E6" w:rsidRDefault="008238E6">
            <w:pPr>
              <w:spacing w:before="120" w:after="120"/>
              <w:jc w:val="center"/>
              <w:rPr>
                <w:color w:val="000000"/>
              </w:rPr>
            </w:pPr>
          </w:p>
        </w:tc>
      </w:tr>
      <w:tr w:rsidR="008238E6" w14:paraId="4FB5F31C"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314" w14:textId="77777777" w:rsidR="008238E6" w:rsidRDefault="00D61AB3">
            <w:pPr>
              <w:spacing w:before="120" w:after="120"/>
              <w:jc w:val="left"/>
              <w:rPr>
                <w:color w:val="000000"/>
              </w:rPr>
            </w:pPr>
            <w:r>
              <w:rPr>
                <w:color w:val="000000"/>
              </w:rPr>
              <w:t>Referências</w:t>
            </w:r>
          </w:p>
        </w:tc>
        <w:tc>
          <w:tcPr>
            <w:tcW w:w="1134" w:type="dxa"/>
            <w:tcBorders>
              <w:top w:val="nil"/>
              <w:left w:val="nil"/>
              <w:bottom w:val="single" w:sz="4" w:space="0" w:color="000000"/>
              <w:right w:val="single" w:sz="4" w:space="0" w:color="000000"/>
            </w:tcBorders>
            <w:shd w:val="clear" w:color="auto" w:fill="auto"/>
            <w:vAlign w:val="center"/>
          </w:tcPr>
          <w:p w14:paraId="4FB5F315" w14:textId="77777777" w:rsidR="008238E6" w:rsidRDefault="00D61AB3">
            <w:pPr>
              <w:spacing w:before="120" w:after="120"/>
              <w:jc w:val="center"/>
              <w:rPr>
                <w:color w:val="000000"/>
              </w:rPr>
            </w:pPr>
            <w:r>
              <w:rPr>
                <w:color w:val="000000"/>
              </w:rPr>
              <w:t>25</w:t>
            </w:r>
          </w:p>
        </w:tc>
        <w:tc>
          <w:tcPr>
            <w:tcW w:w="5959" w:type="dxa"/>
            <w:tcBorders>
              <w:top w:val="nil"/>
              <w:left w:val="nil"/>
              <w:bottom w:val="single" w:sz="4" w:space="0" w:color="000000"/>
              <w:right w:val="single" w:sz="4" w:space="0" w:color="000000"/>
            </w:tcBorders>
            <w:shd w:val="clear" w:color="auto" w:fill="auto"/>
            <w:vAlign w:val="center"/>
          </w:tcPr>
          <w:p w14:paraId="4FB5F316" w14:textId="77777777" w:rsidR="008238E6" w:rsidRDefault="00D61AB3">
            <w:pPr>
              <w:spacing w:before="120" w:after="120"/>
              <w:jc w:val="left"/>
              <w:rPr>
                <w:color w:val="000000"/>
              </w:rPr>
            </w:pPr>
            <w:r>
              <w:rPr>
                <w:color w:val="000000"/>
              </w:rPr>
              <w:t>As referências bibliográficas utilizadas no estudo são apresentadas.</w:t>
            </w:r>
          </w:p>
        </w:tc>
        <w:tc>
          <w:tcPr>
            <w:tcW w:w="850" w:type="dxa"/>
            <w:tcBorders>
              <w:top w:val="nil"/>
              <w:left w:val="nil"/>
              <w:bottom w:val="single" w:sz="4" w:space="0" w:color="000000"/>
              <w:right w:val="single" w:sz="4" w:space="0" w:color="000000"/>
            </w:tcBorders>
            <w:shd w:val="clear" w:color="auto" w:fill="auto"/>
            <w:vAlign w:val="center"/>
          </w:tcPr>
          <w:p w14:paraId="4FB5F317"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318"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319"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31A"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31B" w14:textId="77777777" w:rsidR="008238E6" w:rsidRDefault="008238E6">
            <w:pPr>
              <w:spacing w:before="120" w:after="120"/>
              <w:jc w:val="center"/>
              <w:rPr>
                <w:color w:val="000000"/>
              </w:rPr>
            </w:pPr>
          </w:p>
        </w:tc>
      </w:tr>
      <w:tr w:rsidR="008238E6" w14:paraId="4FB5F32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B5F31D" w14:textId="77777777" w:rsidR="008238E6" w:rsidRDefault="00D61AB3">
            <w:pPr>
              <w:spacing w:before="120" w:after="120"/>
              <w:jc w:val="left"/>
              <w:rPr>
                <w:color w:val="000000"/>
              </w:rPr>
            </w:pPr>
            <w:r>
              <w:rPr>
                <w:color w:val="000000"/>
              </w:rPr>
              <w:t>Planilha de AIO</w:t>
            </w:r>
          </w:p>
        </w:tc>
        <w:tc>
          <w:tcPr>
            <w:tcW w:w="1134" w:type="dxa"/>
            <w:tcBorders>
              <w:top w:val="nil"/>
              <w:left w:val="nil"/>
              <w:bottom w:val="single" w:sz="4" w:space="0" w:color="000000"/>
              <w:right w:val="single" w:sz="4" w:space="0" w:color="000000"/>
            </w:tcBorders>
            <w:shd w:val="clear" w:color="auto" w:fill="auto"/>
            <w:vAlign w:val="center"/>
          </w:tcPr>
          <w:p w14:paraId="4FB5F31E" w14:textId="77777777" w:rsidR="008238E6" w:rsidRDefault="00D61AB3">
            <w:pPr>
              <w:spacing w:before="120" w:after="120"/>
              <w:jc w:val="center"/>
              <w:rPr>
                <w:color w:val="000000"/>
              </w:rPr>
            </w:pPr>
            <w:r>
              <w:rPr>
                <w:color w:val="000000"/>
              </w:rPr>
              <w:t>26</w:t>
            </w:r>
          </w:p>
        </w:tc>
        <w:tc>
          <w:tcPr>
            <w:tcW w:w="5959" w:type="dxa"/>
            <w:tcBorders>
              <w:top w:val="nil"/>
              <w:left w:val="nil"/>
              <w:bottom w:val="single" w:sz="4" w:space="0" w:color="000000"/>
              <w:right w:val="single" w:sz="4" w:space="0" w:color="000000"/>
            </w:tcBorders>
            <w:shd w:val="clear" w:color="auto" w:fill="auto"/>
            <w:vAlign w:val="center"/>
          </w:tcPr>
          <w:p w14:paraId="4FB5F31F" w14:textId="77777777" w:rsidR="008238E6" w:rsidRDefault="00D61AB3">
            <w:pPr>
              <w:spacing w:before="120" w:after="120"/>
              <w:jc w:val="left"/>
              <w:rPr>
                <w:color w:val="000000"/>
              </w:rPr>
            </w:pPr>
            <w:r>
              <w:rPr>
                <w:color w:val="000000"/>
              </w:rPr>
              <w:t>A planilha utilizada no estudo é apresentada na íntegra e é reprodutível.</w:t>
            </w:r>
          </w:p>
        </w:tc>
        <w:tc>
          <w:tcPr>
            <w:tcW w:w="850" w:type="dxa"/>
            <w:tcBorders>
              <w:top w:val="nil"/>
              <w:left w:val="nil"/>
              <w:bottom w:val="single" w:sz="4" w:space="0" w:color="000000"/>
              <w:right w:val="single" w:sz="4" w:space="0" w:color="000000"/>
            </w:tcBorders>
            <w:shd w:val="clear" w:color="auto" w:fill="auto"/>
            <w:vAlign w:val="center"/>
          </w:tcPr>
          <w:p w14:paraId="4FB5F320" w14:textId="77777777" w:rsidR="008238E6" w:rsidRDefault="008238E6">
            <w:pPr>
              <w:spacing w:before="120" w:after="120"/>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4FB5F321" w14:textId="77777777" w:rsidR="008238E6" w:rsidRDefault="008238E6">
            <w:pPr>
              <w:spacing w:before="120" w:after="120"/>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FB5F322" w14:textId="77777777" w:rsidR="008238E6" w:rsidRDefault="00D61AB3">
            <w:pPr>
              <w:spacing w:before="120" w:after="120"/>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4FB5F323" w14:textId="77777777" w:rsidR="008238E6" w:rsidRDefault="008238E6">
            <w:pPr>
              <w:spacing w:before="120" w:after="120"/>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B5F324" w14:textId="77777777" w:rsidR="008238E6" w:rsidRDefault="008238E6">
            <w:pPr>
              <w:spacing w:before="120" w:after="120"/>
              <w:jc w:val="center"/>
              <w:rPr>
                <w:color w:val="000000"/>
              </w:rPr>
            </w:pPr>
          </w:p>
        </w:tc>
      </w:tr>
    </w:tbl>
    <w:p w14:paraId="4FB5F326" w14:textId="77777777" w:rsidR="008238E6" w:rsidRDefault="00D61AB3">
      <w:pPr>
        <w:spacing w:before="60" w:after="60" w:line="240" w:lineRule="auto"/>
        <w:jc w:val="left"/>
        <w:rPr>
          <w:i/>
          <w:color w:val="000000"/>
          <w:sz w:val="20"/>
          <w:szCs w:val="20"/>
        </w:rPr>
      </w:pPr>
      <w:r>
        <w:rPr>
          <w:i/>
          <w:color w:val="000000"/>
          <w:sz w:val="20"/>
          <w:szCs w:val="20"/>
        </w:rPr>
        <w:t>Fonte: Brasil, Ministério da Saúde, Secretaria de Ciência, Tecnologia e Insumos Estratégicos. Diretrizes metodológicas: análise de impacto orçamentário - manual para o SUS. Brasília, Ministério da Saúde, 2012 (adaptado).</w:t>
      </w:r>
    </w:p>
    <w:p w14:paraId="4FB5F327" w14:textId="77777777" w:rsidR="008238E6" w:rsidRDefault="00D61AB3">
      <w:pPr>
        <w:spacing w:after="120" w:line="240" w:lineRule="auto"/>
        <w:jc w:val="left"/>
        <w:rPr>
          <w:b/>
          <w:color w:val="000000"/>
        </w:rPr>
      </w:pPr>
      <w:r>
        <w:rPr>
          <w:b/>
          <w:color w:val="000000"/>
        </w:rPr>
        <w:t>Justificativa para itens de verificação marcados como "Não" ou "Parcial" e observações gerais:</w:t>
      </w:r>
    </w:p>
    <w:tbl>
      <w:tblPr>
        <w:tblStyle w:val="afffffffff5"/>
        <w:tblW w:w="13678" w:type="dxa"/>
        <w:tblInd w:w="-70" w:type="dxa"/>
        <w:tblLayout w:type="fixed"/>
        <w:tblLook w:val="0400" w:firstRow="0" w:lastRow="0" w:firstColumn="0" w:lastColumn="0" w:noHBand="0" w:noVBand="1"/>
      </w:tblPr>
      <w:tblGrid>
        <w:gridCol w:w="1271"/>
        <w:gridCol w:w="1701"/>
        <w:gridCol w:w="10706"/>
      </w:tblGrid>
      <w:tr w:rsidR="008238E6" w14:paraId="4FB5F32B" w14:textId="77777777">
        <w:trPr>
          <w:trHeight w:val="600"/>
        </w:trPr>
        <w:tc>
          <w:tcPr>
            <w:tcW w:w="127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FB5F328" w14:textId="77777777" w:rsidR="008238E6" w:rsidRDefault="00D61AB3">
            <w:pPr>
              <w:spacing w:before="120" w:after="120"/>
              <w:jc w:val="center"/>
              <w:rPr>
                <w:b/>
              </w:rPr>
            </w:pPr>
            <w:r>
              <w:rPr>
                <w:b/>
              </w:rPr>
              <w:t>Item</w:t>
            </w:r>
          </w:p>
        </w:tc>
        <w:tc>
          <w:tcPr>
            <w:tcW w:w="1701" w:type="dxa"/>
            <w:tcBorders>
              <w:top w:val="single" w:sz="4" w:space="0" w:color="000000"/>
              <w:left w:val="nil"/>
              <w:bottom w:val="single" w:sz="4" w:space="0" w:color="000000"/>
              <w:right w:val="single" w:sz="4" w:space="0" w:color="000000"/>
            </w:tcBorders>
            <w:shd w:val="clear" w:color="auto" w:fill="B4C6E7"/>
            <w:vAlign w:val="center"/>
          </w:tcPr>
          <w:p w14:paraId="4FB5F329" w14:textId="77777777" w:rsidR="008238E6" w:rsidRDefault="00D61AB3">
            <w:pPr>
              <w:spacing w:before="120" w:after="120"/>
              <w:jc w:val="center"/>
              <w:rPr>
                <w:b/>
              </w:rPr>
            </w:pPr>
            <w:r>
              <w:rPr>
                <w:b/>
              </w:rPr>
              <w:t>Julgamento</w:t>
            </w:r>
          </w:p>
        </w:tc>
        <w:tc>
          <w:tcPr>
            <w:tcW w:w="10706" w:type="dxa"/>
            <w:tcBorders>
              <w:top w:val="single" w:sz="4" w:space="0" w:color="000000"/>
              <w:left w:val="nil"/>
              <w:bottom w:val="single" w:sz="4" w:space="0" w:color="000000"/>
              <w:right w:val="single" w:sz="4" w:space="0" w:color="000000"/>
            </w:tcBorders>
            <w:shd w:val="clear" w:color="auto" w:fill="B4C6E7"/>
            <w:vAlign w:val="center"/>
          </w:tcPr>
          <w:p w14:paraId="4FB5F32A" w14:textId="77777777" w:rsidR="008238E6" w:rsidRDefault="00D61AB3">
            <w:pPr>
              <w:spacing w:before="120" w:after="120"/>
              <w:jc w:val="center"/>
              <w:rPr>
                <w:b/>
              </w:rPr>
            </w:pPr>
            <w:r>
              <w:rPr>
                <w:b/>
              </w:rPr>
              <w:t>Justificativas e observações</w:t>
            </w:r>
          </w:p>
        </w:tc>
      </w:tr>
      <w:tr w:rsidR="008238E6" w14:paraId="4FB5F32F"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32C" w14:textId="77777777" w:rsidR="008238E6" w:rsidRDefault="008238E6">
            <w:pPr>
              <w:spacing w:before="120" w:after="120"/>
              <w:jc w:val="center"/>
            </w:pP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32D" w14:textId="77777777" w:rsidR="008238E6" w:rsidRDefault="008238E6">
            <w:pPr>
              <w:spacing w:before="120" w:after="120"/>
              <w:jc w:val="center"/>
            </w:pP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4FB5F32E" w14:textId="77777777" w:rsidR="008238E6" w:rsidRDefault="008238E6">
            <w:pPr>
              <w:spacing w:before="120" w:after="120"/>
              <w:jc w:val="left"/>
            </w:pPr>
          </w:p>
        </w:tc>
      </w:tr>
      <w:tr w:rsidR="008238E6" w14:paraId="4FB5F333"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330" w14:textId="77777777" w:rsidR="008238E6" w:rsidRDefault="008238E6">
            <w:pPr>
              <w:spacing w:before="120" w:after="120"/>
              <w:jc w:val="center"/>
            </w:pP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331" w14:textId="77777777" w:rsidR="008238E6" w:rsidRDefault="008238E6">
            <w:pPr>
              <w:spacing w:before="120" w:after="120"/>
              <w:jc w:val="center"/>
            </w:pP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4FB5F332" w14:textId="77777777" w:rsidR="008238E6" w:rsidRDefault="008238E6">
            <w:pPr>
              <w:spacing w:before="120" w:after="120"/>
              <w:jc w:val="left"/>
            </w:pPr>
          </w:p>
        </w:tc>
      </w:tr>
      <w:tr w:rsidR="008238E6" w14:paraId="4FB5F337"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F334" w14:textId="77777777" w:rsidR="008238E6" w:rsidRDefault="00D61AB3">
            <w:pPr>
              <w:spacing w:before="120" w:after="120"/>
              <w:jc w:val="center"/>
            </w:pPr>
            <w:r>
              <w:t>24</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FB5F335" w14:textId="77777777" w:rsidR="008238E6" w:rsidRDefault="00D61AB3">
            <w:pPr>
              <w:spacing w:before="120" w:after="120"/>
              <w:jc w:val="center"/>
            </w:pPr>
            <w:r>
              <w:t>n/a</w:t>
            </w: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4FB5F336" w14:textId="77777777" w:rsidR="008238E6" w:rsidRDefault="00D61AB3">
            <w:pPr>
              <w:spacing w:before="120" w:after="120"/>
              <w:jc w:val="left"/>
            </w:pPr>
            <w:r>
              <w:t>A declaração de conflitos de interesse é objeto de análise pela ANS devido à proteção de dados confidenciais. O PARECERISTA não teve acesso ao documento.</w:t>
            </w:r>
          </w:p>
        </w:tc>
      </w:tr>
    </w:tbl>
    <w:p w14:paraId="4FB5F338" w14:textId="77777777" w:rsidR="008238E6" w:rsidRDefault="00D61AB3">
      <w:pPr>
        <w:spacing w:before="120" w:after="120" w:line="240" w:lineRule="auto"/>
        <w:jc w:val="left"/>
        <w:rPr>
          <w:b/>
          <w:color w:val="000000"/>
        </w:rPr>
      </w:pPr>
      <w:r>
        <w:rPr>
          <w:b/>
          <w:color w:val="000000"/>
        </w:rPr>
        <w:t>(inserir outras linhas se necessário)</w:t>
      </w:r>
    </w:p>
    <w:p w14:paraId="4FB5F339" w14:textId="77777777" w:rsidR="008238E6" w:rsidRDefault="00D61AB3">
      <w:pPr>
        <w:spacing w:after="120" w:line="240" w:lineRule="auto"/>
        <w:jc w:val="left"/>
        <w:rPr>
          <w:b/>
          <w:color w:val="000000"/>
          <w:sz w:val="24"/>
          <w:szCs w:val="24"/>
        </w:rPr>
        <w:sectPr w:rsidR="008238E6">
          <w:footerReference w:type="default" r:id="rId46"/>
          <w:pgSz w:w="16838" w:h="11906" w:orient="landscape"/>
          <w:pgMar w:top="1418" w:right="1134" w:bottom="1418" w:left="2115" w:header="709" w:footer="709" w:gutter="0"/>
          <w:pgNumType w:start="0"/>
          <w:cols w:space="720"/>
        </w:sectPr>
      </w:pPr>
      <w:r>
        <w:br w:type="page"/>
      </w:r>
    </w:p>
    <w:p w14:paraId="4FB5F33A" w14:textId="77777777" w:rsidR="008238E6" w:rsidRDefault="00D61AB3">
      <w:pPr>
        <w:spacing w:before="0" w:after="120"/>
      </w:pPr>
      <w:r>
        <w:rPr>
          <w:b/>
        </w:rPr>
        <w:t xml:space="preserve">Anexo 3. </w:t>
      </w:r>
      <w:r>
        <w:t>MODY Probability Calculator</w:t>
      </w:r>
    </w:p>
    <w:p w14:paraId="4FB5F33B" w14:textId="77777777" w:rsidR="008238E6" w:rsidRDefault="00D61AB3">
      <w:pPr>
        <w:spacing w:before="0" w:after="120"/>
      </w:pPr>
      <w:r>
        <w:t xml:space="preserve">A calculadora pode ser acessada pelo link: </w:t>
      </w:r>
      <w:hyperlink r:id="rId47">
        <w:r w:rsidR="008238E6">
          <w:rPr>
            <w:color w:val="1155CC"/>
            <w:u w:val="single"/>
          </w:rPr>
          <w:t>https://www.diabetesgenes.org/exeter-diabetes-app/ModyCalculator</w:t>
        </w:r>
      </w:hyperlink>
    </w:p>
    <w:p w14:paraId="4FB5F33C" w14:textId="77777777" w:rsidR="008238E6" w:rsidRDefault="00D61AB3">
      <w:pPr>
        <w:spacing w:before="0" w:after="120"/>
      </w:pPr>
      <w:r>
        <w:t>Os itens que são analisados na calculadora:</w:t>
      </w:r>
      <w:r>
        <w:rPr>
          <w:noProof/>
        </w:rPr>
        <w:drawing>
          <wp:anchor distT="114300" distB="114300" distL="114300" distR="114300" simplePos="0" relativeHeight="251658246" behindDoc="0" locked="0" layoutInCell="1" hidden="0" allowOverlap="1" wp14:anchorId="4FB5F36B" wp14:editId="4FB5F36C">
            <wp:simplePos x="0" y="0"/>
            <wp:positionH relativeFrom="column">
              <wp:posOffset>-590866</wp:posOffset>
            </wp:positionH>
            <wp:positionV relativeFrom="paragraph">
              <wp:posOffset>352425</wp:posOffset>
            </wp:positionV>
            <wp:extent cx="7134543" cy="3586606"/>
            <wp:effectExtent l="0" t="0" r="0" b="0"/>
            <wp:wrapTopAndBottom distT="114300" distB="114300"/>
            <wp:docPr id="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8"/>
                    <a:srcRect/>
                    <a:stretch>
                      <a:fillRect/>
                    </a:stretch>
                  </pic:blipFill>
                  <pic:spPr>
                    <a:xfrm>
                      <a:off x="0" y="0"/>
                      <a:ext cx="7134543" cy="3586606"/>
                    </a:xfrm>
                    <a:prstGeom prst="rect">
                      <a:avLst/>
                    </a:prstGeom>
                    <a:ln/>
                  </pic:spPr>
                </pic:pic>
              </a:graphicData>
            </a:graphic>
          </wp:anchor>
        </w:drawing>
      </w:r>
    </w:p>
    <w:p w14:paraId="4FB5F33D" w14:textId="77777777" w:rsidR="008238E6" w:rsidRDefault="00D61AB3">
      <w:pPr>
        <w:spacing w:before="0" w:after="120"/>
      </w:pPr>
      <w:r>
        <w:rPr>
          <w:noProof/>
        </w:rPr>
        <w:drawing>
          <wp:anchor distT="114300" distB="114300" distL="114300" distR="114300" simplePos="0" relativeHeight="251658247" behindDoc="0" locked="0" layoutInCell="1" hidden="0" allowOverlap="1" wp14:anchorId="4FB5F36D" wp14:editId="4FB5F36E">
            <wp:simplePos x="0" y="0"/>
            <wp:positionH relativeFrom="column">
              <wp:posOffset>-752474</wp:posOffset>
            </wp:positionH>
            <wp:positionV relativeFrom="paragraph">
              <wp:posOffset>3753594</wp:posOffset>
            </wp:positionV>
            <wp:extent cx="7189247" cy="2513856"/>
            <wp:effectExtent l="0" t="0" r="0" b="0"/>
            <wp:wrapTopAndBottom distT="114300" distB="114300"/>
            <wp:docPr id="5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9"/>
                    <a:srcRect/>
                    <a:stretch>
                      <a:fillRect/>
                    </a:stretch>
                  </pic:blipFill>
                  <pic:spPr>
                    <a:xfrm>
                      <a:off x="0" y="0"/>
                      <a:ext cx="7189247" cy="2513856"/>
                    </a:xfrm>
                    <a:prstGeom prst="rect">
                      <a:avLst/>
                    </a:prstGeom>
                    <a:ln/>
                  </pic:spPr>
                </pic:pic>
              </a:graphicData>
            </a:graphic>
          </wp:anchor>
        </w:drawing>
      </w:r>
    </w:p>
    <w:p w14:paraId="4FB5F33E" w14:textId="77777777" w:rsidR="008238E6" w:rsidRDefault="00D61AB3">
      <w:pPr>
        <w:spacing w:before="0" w:after="120"/>
        <w:rPr>
          <w:b/>
        </w:rPr>
      </w:pPr>
      <w:r>
        <w:rPr>
          <w:b/>
        </w:rPr>
        <w:t xml:space="preserve">Anexo 4. </w:t>
      </w:r>
      <w:r>
        <w:t>Planilha de impacto orçamentário elaborada pelo PARECERISTA (anexo externo).</w:t>
      </w:r>
    </w:p>
    <w:p w14:paraId="4FB5F33F" w14:textId="77777777" w:rsidR="008238E6" w:rsidRDefault="008238E6">
      <w:pPr>
        <w:spacing w:before="0" w:after="120"/>
        <w:rPr>
          <w:b/>
        </w:rPr>
      </w:pPr>
    </w:p>
    <w:p w14:paraId="4FB5F340" w14:textId="77777777" w:rsidR="008238E6" w:rsidRDefault="00D61AB3">
      <w:pPr>
        <w:spacing w:before="0" w:after="120"/>
        <w:rPr>
          <w:i/>
          <w:sz w:val="20"/>
          <w:szCs w:val="20"/>
        </w:rPr>
      </w:pPr>
      <w:r>
        <w:rPr>
          <w:b/>
        </w:rPr>
        <w:t xml:space="preserve">Anexo 5. </w:t>
      </w:r>
      <w:r>
        <w:t>Declaração de potenciais conflitos de interesses (anexo externo).</w:t>
      </w:r>
    </w:p>
    <w:sectPr w:rsidR="008238E6">
      <w:pgSz w:w="11906" w:h="16838"/>
      <w:pgMar w:top="2115" w:right="1418" w:bottom="1134" w:left="1418" w:header="709" w:footer="709" w:gutter="0"/>
      <w:pgNumType w:start="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88C223" w14:textId="77777777" w:rsidR="001862B5" w:rsidRDefault="001862B5">
      <w:pPr>
        <w:spacing w:before="0" w:after="0" w:line="240" w:lineRule="auto"/>
      </w:pPr>
      <w:r>
        <w:separator/>
      </w:r>
    </w:p>
  </w:endnote>
  <w:endnote w:type="continuationSeparator" w:id="0">
    <w:p w14:paraId="0FDF2343" w14:textId="77777777" w:rsidR="001862B5" w:rsidRDefault="001862B5">
      <w:pPr>
        <w:spacing w:before="0" w:after="0" w:line="240" w:lineRule="auto"/>
      </w:pPr>
      <w:r>
        <w:continuationSeparator/>
      </w:r>
    </w:p>
  </w:endnote>
  <w:endnote w:type="continuationNotice" w:id="1">
    <w:p w14:paraId="22750860" w14:textId="77777777" w:rsidR="001862B5" w:rsidRDefault="001862B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5359946-6E1B-4D58-BB30-FE7C836BFEBC}"/>
    <w:embedBold r:id="rId2" w:fontKey="{8694D8B9-D440-4BFB-AE43-D7B8C88CE0CA}"/>
    <w:embedItalic r:id="rId3" w:fontKey="{B26F64E8-FB9C-4545-9BB6-E96672187D30}"/>
    <w:embedBoldItalic r:id="rId4" w:fontKey="{4E76DE8A-E27C-4C4A-B3CD-D1DF1D7F7998}"/>
  </w:font>
  <w:font w:name="Georgia">
    <w:panose1 w:val="02040502050405020303"/>
    <w:charset w:val="00"/>
    <w:family w:val="roman"/>
    <w:pitch w:val="variable"/>
    <w:sig w:usb0="00000287" w:usb1="00000000" w:usb2="00000000" w:usb3="00000000" w:csb0="0000009F" w:csb1="00000000"/>
    <w:embedRegular r:id="rId5" w:fontKey="{C2DE5C9D-7FA8-4F02-9F13-777AB85FF927}"/>
    <w:embedItalic r:id="rId6" w:fontKey="{3640DCCC-019B-4401-A1FE-5DCDB9C2C4B6}"/>
  </w:font>
  <w:font w:name="Quattrocento Sans">
    <w:charset w:val="00"/>
    <w:family w:val="swiss"/>
    <w:pitch w:val="variable"/>
    <w:sig w:usb0="800000BF" w:usb1="4000005B" w:usb2="00000000" w:usb3="00000000" w:csb0="00000001" w:csb1="00000000"/>
    <w:embedRegular r:id="rId7" w:fontKey="{A223E16D-3739-4C7A-A1F0-30E51D4EAF7D}"/>
    <w:embedItalic r:id="rId8" w:fontKey="{B39DE3D1-8C91-42DB-A62E-A421DD4C6FF2}"/>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embedRegular r:id="rId9" w:fontKey="{269C4E58-ACC1-4493-A97D-66C9769082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73" w14:textId="5A68B45B" w:rsidR="008238E6" w:rsidRDefault="00D61AB3">
    <w:pPr>
      <w:pBdr>
        <w:top w:val="nil"/>
        <w:left w:val="nil"/>
        <w:bottom w:val="nil"/>
        <w:right w:val="nil"/>
        <w:between w:val="nil"/>
      </w:pBdr>
      <w:tabs>
        <w:tab w:val="center" w:pos="4252"/>
        <w:tab w:val="right" w:pos="8504"/>
      </w:tabs>
      <w:spacing w:before="0" w:after="0" w:line="240" w:lineRule="auto"/>
      <w:jc w:val="center"/>
      <w:rPr>
        <w:color w:val="000000"/>
      </w:rPr>
    </w:pPr>
    <w:r>
      <w:rPr>
        <w:color w:val="000000"/>
      </w:rPr>
      <w:fldChar w:fldCharType="begin"/>
    </w:r>
    <w:r>
      <w:rPr>
        <w:color w:val="000000"/>
      </w:rPr>
      <w:instrText>PAGE</w:instrText>
    </w:r>
    <w:r>
      <w:rPr>
        <w:color w:val="000000"/>
      </w:rPr>
      <w:fldChar w:fldCharType="separate"/>
    </w:r>
    <w:r w:rsidR="00485AC0">
      <w:rPr>
        <w:noProof/>
        <w:color w:val="000000"/>
      </w:rPr>
      <w:t>5</w:t>
    </w:r>
    <w:r>
      <w:rPr>
        <w:color w:val="000000"/>
      </w:rPr>
      <w:fldChar w:fldCharType="end"/>
    </w:r>
  </w:p>
  <w:p w14:paraId="4FB5F374" w14:textId="77777777" w:rsidR="008238E6" w:rsidRDefault="008238E6">
    <w:pPr>
      <w:widowControl w:val="0"/>
      <w:pBdr>
        <w:top w:val="nil"/>
        <w:left w:val="nil"/>
        <w:bottom w:val="nil"/>
        <w:right w:val="nil"/>
        <w:between w:val="nil"/>
      </w:pBdr>
      <w:spacing w:before="0" w:after="0" w:line="276" w:lineRule="auto"/>
      <w:jc w:val="lef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75" w14:textId="77777777" w:rsidR="008238E6" w:rsidRDefault="008238E6">
    <w:pPr>
      <w:pBdr>
        <w:top w:val="nil"/>
        <w:left w:val="nil"/>
        <w:bottom w:val="nil"/>
        <w:right w:val="nil"/>
        <w:between w:val="nil"/>
      </w:pBdr>
      <w:tabs>
        <w:tab w:val="center" w:pos="4252"/>
        <w:tab w:val="right" w:pos="8504"/>
      </w:tabs>
      <w:spacing w:before="0" w:after="0" w:line="240" w:lineRule="auto"/>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4DE6F4" w14:textId="77777777" w:rsidR="001862B5" w:rsidRDefault="001862B5">
      <w:pPr>
        <w:spacing w:before="0" w:after="0" w:line="240" w:lineRule="auto"/>
      </w:pPr>
      <w:r>
        <w:separator/>
      </w:r>
    </w:p>
  </w:footnote>
  <w:footnote w:type="continuationSeparator" w:id="0">
    <w:p w14:paraId="5CBE3B46" w14:textId="77777777" w:rsidR="001862B5" w:rsidRDefault="001862B5">
      <w:pPr>
        <w:spacing w:before="0" w:after="0" w:line="240" w:lineRule="auto"/>
      </w:pPr>
      <w:r>
        <w:continuationSeparator/>
      </w:r>
    </w:p>
  </w:footnote>
  <w:footnote w:type="continuationNotice" w:id="1">
    <w:p w14:paraId="315B9742" w14:textId="77777777" w:rsidR="001862B5" w:rsidRDefault="001862B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6F" w14:textId="77777777" w:rsidR="008238E6" w:rsidRDefault="00D61AB3">
    <w:pPr>
      <w:pBdr>
        <w:top w:val="nil"/>
        <w:left w:val="nil"/>
        <w:bottom w:val="nil"/>
        <w:right w:val="nil"/>
        <w:between w:val="nil"/>
      </w:pBdr>
      <w:tabs>
        <w:tab w:val="center" w:pos="4252"/>
        <w:tab w:val="right" w:pos="8504"/>
      </w:tabs>
      <w:spacing w:before="0" w:after="0" w:line="240" w:lineRule="auto"/>
      <w:jc w:val="center"/>
      <w:rPr>
        <w:color w:val="000000"/>
      </w:rPr>
    </w:pPr>
    <w:r>
      <w:rPr>
        <w:noProof/>
        <w:color w:val="000000"/>
      </w:rPr>
      <w:drawing>
        <wp:inline distT="0" distB="0" distL="0" distR="0" wp14:anchorId="4FB5F376" wp14:editId="4FB5F377">
          <wp:extent cx="1353185" cy="274320"/>
          <wp:effectExtent l="0" t="0" r="0" b="0"/>
          <wp:docPr id="7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
                  <a:srcRect/>
                  <a:stretch>
                    <a:fillRect/>
                  </a:stretch>
                </pic:blipFill>
                <pic:spPr>
                  <a:xfrm>
                    <a:off x="0" y="0"/>
                    <a:ext cx="1353185" cy="27432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70" w14:textId="77777777" w:rsidR="008238E6" w:rsidRDefault="00D61AB3">
    <w:pPr>
      <w:pBdr>
        <w:top w:val="nil"/>
        <w:left w:val="nil"/>
        <w:bottom w:val="nil"/>
        <w:right w:val="nil"/>
        <w:between w:val="nil"/>
      </w:pBdr>
      <w:tabs>
        <w:tab w:val="center" w:pos="4252"/>
        <w:tab w:val="right" w:pos="8504"/>
      </w:tabs>
      <w:spacing w:before="0" w:after="0" w:line="240" w:lineRule="auto"/>
      <w:rPr>
        <w:color w:val="000000"/>
      </w:rPr>
    </w:pPr>
    <w:r>
      <w:rPr>
        <w:noProof/>
      </w:rPr>
      <w:drawing>
        <wp:anchor distT="0" distB="0" distL="114300" distR="114300" simplePos="0" relativeHeight="251658240" behindDoc="0" locked="0" layoutInCell="1" hidden="0" allowOverlap="1" wp14:anchorId="4FB5F378" wp14:editId="4FB5F379">
          <wp:simplePos x="0" y="0"/>
          <wp:positionH relativeFrom="column">
            <wp:posOffset>4131945</wp:posOffset>
          </wp:positionH>
          <wp:positionV relativeFrom="paragraph">
            <wp:posOffset>104139</wp:posOffset>
          </wp:positionV>
          <wp:extent cx="2295525" cy="467995"/>
          <wp:effectExtent l="0" t="0" r="0" b="0"/>
          <wp:wrapSquare wrapText="bothSides" distT="0" distB="0" distL="114300" distR="114300"/>
          <wp:docPr id="5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295525" cy="46799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71" w14:textId="77777777" w:rsidR="008238E6" w:rsidRDefault="00D61AB3">
    <w:pPr>
      <w:pBdr>
        <w:top w:val="nil"/>
        <w:left w:val="nil"/>
        <w:bottom w:val="nil"/>
        <w:right w:val="nil"/>
        <w:between w:val="nil"/>
      </w:pBdr>
      <w:tabs>
        <w:tab w:val="center" w:pos="4252"/>
        <w:tab w:val="right" w:pos="8504"/>
      </w:tabs>
      <w:spacing w:before="0" w:after="0" w:line="240" w:lineRule="auto"/>
      <w:rPr>
        <w:color w:val="000000"/>
      </w:rPr>
    </w:pPr>
    <w:r>
      <w:rPr>
        <w:noProof/>
      </w:rPr>
      <w:drawing>
        <wp:anchor distT="0" distB="0" distL="114300" distR="114300" simplePos="0" relativeHeight="251658241" behindDoc="0" locked="0" layoutInCell="1" hidden="0" allowOverlap="1" wp14:anchorId="4FB5F37A" wp14:editId="4FB5F37B">
          <wp:simplePos x="0" y="0"/>
          <wp:positionH relativeFrom="column">
            <wp:posOffset>2214245</wp:posOffset>
          </wp:positionH>
          <wp:positionV relativeFrom="paragraph">
            <wp:posOffset>-59687</wp:posOffset>
          </wp:positionV>
          <wp:extent cx="1352550" cy="276225"/>
          <wp:effectExtent l="0" t="0" r="0" b="0"/>
          <wp:wrapSquare wrapText="bothSides" distT="0" distB="0" distL="114300" distR="114300"/>
          <wp:docPr id="5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52550" cy="276225"/>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5F372" w14:textId="77777777" w:rsidR="008238E6" w:rsidRDefault="00D61AB3">
    <w:pPr>
      <w:pBdr>
        <w:top w:val="nil"/>
        <w:left w:val="nil"/>
        <w:bottom w:val="nil"/>
        <w:right w:val="nil"/>
        <w:between w:val="nil"/>
      </w:pBdr>
      <w:tabs>
        <w:tab w:val="center" w:pos="4252"/>
        <w:tab w:val="right" w:pos="8504"/>
      </w:tabs>
      <w:spacing w:before="0" w:after="0" w:line="240" w:lineRule="auto"/>
      <w:rPr>
        <w:color w:val="000000"/>
      </w:rPr>
    </w:pPr>
    <w:r>
      <w:rPr>
        <w:noProof/>
      </w:rPr>
      <w:drawing>
        <wp:anchor distT="0" distB="0" distL="114300" distR="114300" simplePos="0" relativeHeight="251658242" behindDoc="0" locked="0" layoutInCell="1" hidden="0" allowOverlap="1" wp14:anchorId="4FB5F37C" wp14:editId="4FB5F37D">
          <wp:simplePos x="0" y="0"/>
          <wp:positionH relativeFrom="column">
            <wp:posOffset>1671320</wp:posOffset>
          </wp:positionH>
          <wp:positionV relativeFrom="paragraph">
            <wp:posOffset>-145413</wp:posOffset>
          </wp:positionV>
          <wp:extent cx="2000250" cy="407670"/>
          <wp:effectExtent l="0" t="0" r="0" b="0"/>
          <wp:wrapSquare wrapText="bothSides" distT="0" distB="0" distL="114300" distR="114300"/>
          <wp:docPr id="5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000250" cy="40767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9B0A58"/>
    <w:multiLevelType w:val="multilevel"/>
    <w:tmpl w:val="EC2CFC96"/>
    <w:lvl w:ilvl="0">
      <w:start w:val="1"/>
      <w:numFmt w:val="bullet"/>
      <w:lvlText w:val="●"/>
      <w:lvlJc w:val="left"/>
      <w:pPr>
        <w:ind w:left="283"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E8251E0"/>
    <w:multiLevelType w:val="multilevel"/>
    <w:tmpl w:val="7188D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8412AE"/>
    <w:multiLevelType w:val="multilevel"/>
    <w:tmpl w:val="8A1CBF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7C1323"/>
    <w:multiLevelType w:val="multilevel"/>
    <w:tmpl w:val="A77CE9D2"/>
    <w:lvl w:ilvl="0">
      <w:start w:val="1"/>
      <w:numFmt w:val="bullet"/>
      <w:lvlText w:val="●"/>
      <w:lvlJc w:val="left"/>
      <w:pPr>
        <w:ind w:left="720" w:hanging="360"/>
      </w:pPr>
      <w:rPr>
        <w:rFonts w:ascii="Arial" w:eastAsia="Arial" w:hAnsi="Arial" w:cs="Arial"/>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EA2EB7"/>
    <w:multiLevelType w:val="multilevel"/>
    <w:tmpl w:val="DACC6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FD90CC1"/>
    <w:multiLevelType w:val="multilevel"/>
    <w:tmpl w:val="E8A499A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 w15:restartNumberingAfterBreak="0">
    <w:nsid w:val="1FEF38C2"/>
    <w:multiLevelType w:val="multilevel"/>
    <w:tmpl w:val="498001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27B1252"/>
    <w:multiLevelType w:val="multilevel"/>
    <w:tmpl w:val="EE82A5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B366D74"/>
    <w:multiLevelType w:val="multilevel"/>
    <w:tmpl w:val="8F7C1E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CE719CC"/>
    <w:multiLevelType w:val="multilevel"/>
    <w:tmpl w:val="B7EEC0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B7D4C0F"/>
    <w:multiLevelType w:val="multilevel"/>
    <w:tmpl w:val="329AB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CE47DA1"/>
    <w:multiLevelType w:val="multilevel"/>
    <w:tmpl w:val="D7208BB4"/>
    <w:lvl w:ilvl="0">
      <w:start w:val="1"/>
      <w:numFmt w:val="decimal"/>
      <w:lvlText w:val="%1."/>
      <w:lvlJc w:val="left"/>
      <w:pPr>
        <w:ind w:left="720" w:hanging="360"/>
      </w:pPr>
      <w:rPr>
        <w:rFonts w:ascii="Arial" w:eastAsia="Arial" w:hAnsi="Arial" w:cs="Arial"/>
        <w:color w:val="222222"/>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4DD817EA"/>
    <w:multiLevelType w:val="multilevel"/>
    <w:tmpl w:val="1D7C8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5525A39"/>
    <w:multiLevelType w:val="hybridMultilevel"/>
    <w:tmpl w:val="15BC365E"/>
    <w:lvl w:ilvl="0" w:tplc="00C6E8C2">
      <w:start w:val="1"/>
      <w:numFmt w:val="bullet"/>
      <w:lvlText w:val="•"/>
      <w:lvlJc w:val="left"/>
      <w:pPr>
        <w:tabs>
          <w:tab w:val="num" w:pos="720"/>
        </w:tabs>
        <w:ind w:left="720" w:hanging="360"/>
      </w:pPr>
      <w:rPr>
        <w:rFonts w:ascii="Arial" w:hAnsi="Arial" w:hint="default"/>
      </w:rPr>
    </w:lvl>
    <w:lvl w:ilvl="1" w:tplc="D6ECA42E" w:tentative="1">
      <w:start w:val="1"/>
      <w:numFmt w:val="bullet"/>
      <w:lvlText w:val="•"/>
      <w:lvlJc w:val="left"/>
      <w:pPr>
        <w:tabs>
          <w:tab w:val="num" w:pos="1440"/>
        </w:tabs>
        <w:ind w:left="1440" w:hanging="360"/>
      </w:pPr>
      <w:rPr>
        <w:rFonts w:ascii="Arial" w:hAnsi="Arial" w:hint="default"/>
      </w:rPr>
    </w:lvl>
    <w:lvl w:ilvl="2" w:tplc="0B447C42" w:tentative="1">
      <w:start w:val="1"/>
      <w:numFmt w:val="bullet"/>
      <w:lvlText w:val="•"/>
      <w:lvlJc w:val="left"/>
      <w:pPr>
        <w:tabs>
          <w:tab w:val="num" w:pos="2160"/>
        </w:tabs>
        <w:ind w:left="2160" w:hanging="360"/>
      </w:pPr>
      <w:rPr>
        <w:rFonts w:ascii="Arial" w:hAnsi="Arial" w:hint="default"/>
      </w:rPr>
    </w:lvl>
    <w:lvl w:ilvl="3" w:tplc="6D5AB532" w:tentative="1">
      <w:start w:val="1"/>
      <w:numFmt w:val="bullet"/>
      <w:lvlText w:val="•"/>
      <w:lvlJc w:val="left"/>
      <w:pPr>
        <w:tabs>
          <w:tab w:val="num" w:pos="2880"/>
        </w:tabs>
        <w:ind w:left="2880" w:hanging="360"/>
      </w:pPr>
      <w:rPr>
        <w:rFonts w:ascii="Arial" w:hAnsi="Arial" w:hint="default"/>
      </w:rPr>
    </w:lvl>
    <w:lvl w:ilvl="4" w:tplc="C0F290E6" w:tentative="1">
      <w:start w:val="1"/>
      <w:numFmt w:val="bullet"/>
      <w:lvlText w:val="•"/>
      <w:lvlJc w:val="left"/>
      <w:pPr>
        <w:tabs>
          <w:tab w:val="num" w:pos="3600"/>
        </w:tabs>
        <w:ind w:left="3600" w:hanging="360"/>
      </w:pPr>
      <w:rPr>
        <w:rFonts w:ascii="Arial" w:hAnsi="Arial" w:hint="default"/>
      </w:rPr>
    </w:lvl>
    <w:lvl w:ilvl="5" w:tplc="32B83FAE" w:tentative="1">
      <w:start w:val="1"/>
      <w:numFmt w:val="bullet"/>
      <w:lvlText w:val="•"/>
      <w:lvlJc w:val="left"/>
      <w:pPr>
        <w:tabs>
          <w:tab w:val="num" w:pos="4320"/>
        </w:tabs>
        <w:ind w:left="4320" w:hanging="360"/>
      </w:pPr>
      <w:rPr>
        <w:rFonts w:ascii="Arial" w:hAnsi="Arial" w:hint="default"/>
      </w:rPr>
    </w:lvl>
    <w:lvl w:ilvl="6" w:tplc="4D06772A" w:tentative="1">
      <w:start w:val="1"/>
      <w:numFmt w:val="bullet"/>
      <w:lvlText w:val="•"/>
      <w:lvlJc w:val="left"/>
      <w:pPr>
        <w:tabs>
          <w:tab w:val="num" w:pos="5040"/>
        </w:tabs>
        <w:ind w:left="5040" w:hanging="360"/>
      </w:pPr>
      <w:rPr>
        <w:rFonts w:ascii="Arial" w:hAnsi="Arial" w:hint="default"/>
      </w:rPr>
    </w:lvl>
    <w:lvl w:ilvl="7" w:tplc="02D2AE00" w:tentative="1">
      <w:start w:val="1"/>
      <w:numFmt w:val="bullet"/>
      <w:lvlText w:val="•"/>
      <w:lvlJc w:val="left"/>
      <w:pPr>
        <w:tabs>
          <w:tab w:val="num" w:pos="5760"/>
        </w:tabs>
        <w:ind w:left="5760" w:hanging="360"/>
      </w:pPr>
      <w:rPr>
        <w:rFonts w:ascii="Arial" w:hAnsi="Arial" w:hint="default"/>
      </w:rPr>
    </w:lvl>
    <w:lvl w:ilvl="8" w:tplc="CF74357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E0741C9"/>
    <w:multiLevelType w:val="multilevel"/>
    <w:tmpl w:val="0C101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6D356B2"/>
    <w:multiLevelType w:val="multilevel"/>
    <w:tmpl w:val="6E16C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71035680">
    <w:abstractNumId w:val="3"/>
  </w:num>
  <w:num w:numId="2" w16cid:durableId="1357462614">
    <w:abstractNumId w:val="10"/>
  </w:num>
  <w:num w:numId="3" w16cid:durableId="376513539">
    <w:abstractNumId w:val="7"/>
  </w:num>
  <w:num w:numId="4" w16cid:durableId="802893399">
    <w:abstractNumId w:val="4"/>
  </w:num>
  <w:num w:numId="5" w16cid:durableId="140000294">
    <w:abstractNumId w:val="9"/>
  </w:num>
  <w:num w:numId="6" w16cid:durableId="618268891">
    <w:abstractNumId w:val="1"/>
  </w:num>
  <w:num w:numId="7" w16cid:durableId="924149225">
    <w:abstractNumId w:val="12"/>
  </w:num>
  <w:num w:numId="8" w16cid:durableId="1019743904">
    <w:abstractNumId w:val="0"/>
  </w:num>
  <w:num w:numId="9" w16cid:durableId="322662273">
    <w:abstractNumId w:val="11"/>
  </w:num>
  <w:num w:numId="10" w16cid:durableId="246547016">
    <w:abstractNumId w:val="8"/>
  </w:num>
  <w:num w:numId="11" w16cid:durableId="937785527">
    <w:abstractNumId w:val="15"/>
  </w:num>
  <w:num w:numId="12" w16cid:durableId="580026140">
    <w:abstractNumId w:val="2"/>
  </w:num>
  <w:num w:numId="13" w16cid:durableId="333342929">
    <w:abstractNumId w:val="6"/>
  </w:num>
  <w:num w:numId="14" w16cid:durableId="1130784184">
    <w:abstractNumId w:val="14"/>
  </w:num>
  <w:num w:numId="15" w16cid:durableId="1232814663">
    <w:abstractNumId w:val="5"/>
  </w:num>
  <w:num w:numId="16" w16cid:durableId="66324724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TrueTypeFont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38E6"/>
    <w:rsid w:val="000011D1"/>
    <w:rsid w:val="00004598"/>
    <w:rsid w:val="000050F9"/>
    <w:rsid w:val="000155B0"/>
    <w:rsid w:val="00045501"/>
    <w:rsid w:val="00046A0A"/>
    <w:rsid w:val="00050385"/>
    <w:rsid w:val="000531CB"/>
    <w:rsid w:val="00055D4B"/>
    <w:rsid w:val="00056F9D"/>
    <w:rsid w:val="00071517"/>
    <w:rsid w:val="00072EAC"/>
    <w:rsid w:val="00075231"/>
    <w:rsid w:val="00083007"/>
    <w:rsid w:val="000853B8"/>
    <w:rsid w:val="000A0A6D"/>
    <w:rsid w:val="000A60D9"/>
    <w:rsid w:val="000A7B08"/>
    <w:rsid w:val="000B7B20"/>
    <w:rsid w:val="000D290E"/>
    <w:rsid w:val="000F03A4"/>
    <w:rsid w:val="000F121D"/>
    <w:rsid w:val="000F1E55"/>
    <w:rsid w:val="000F48C6"/>
    <w:rsid w:val="00100F5A"/>
    <w:rsid w:val="001021D4"/>
    <w:rsid w:val="00110BC8"/>
    <w:rsid w:val="00111341"/>
    <w:rsid w:val="0011313E"/>
    <w:rsid w:val="00116400"/>
    <w:rsid w:val="0012039A"/>
    <w:rsid w:val="00120D96"/>
    <w:rsid w:val="00122575"/>
    <w:rsid w:val="001237D7"/>
    <w:rsid w:val="00124BB6"/>
    <w:rsid w:val="0012702C"/>
    <w:rsid w:val="00132BB4"/>
    <w:rsid w:val="00134029"/>
    <w:rsid w:val="00136EB3"/>
    <w:rsid w:val="001461F6"/>
    <w:rsid w:val="0015312C"/>
    <w:rsid w:val="00155CAE"/>
    <w:rsid w:val="001616BC"/>
    <w:rsid w:val="00163CD3"/>
    <w:rsid w:val="00163D31"/>
    <w:rsid w:val="00164134"/>
    <w:rsid w:val="00166172"/>
    <w:rsid w:val="00167B23"/>
    <w:rsid w:val="00174A37"/>
    <w:rsid w:val="00182A49"/>
    <w:rsid w:val="00185C72"/>
    <w:rsid w:val="001862B5"/>
    <w:rsid w:val="0019755B"/>
    <w:rsid w:val="001A0D96"/>
    <w:rsid w:val="001A28F7"/>
    <w:rsid w:val="001C0194"/>
    <w:rsid w:val="001C1FDF"/>
    <w:rsid w:val="001D0434"/>
    <w:rsid w:val="001D171D"/>
    <w:rsid w:val="001D59EA"/>
    <w:rsid w:val="001D5CC8"/>
    <w:rsid w:val="001E063C"/>
    <w:rsid w:val="001E093A"/>
    <w:rsid w:val="001E2692"/>
    <w:rsid w:val="001E5002"/>
    <w:rsid w:val="001E5E05"/>
    <w:rsid w:val="001E646F"/>
    <w:rsid w:val="001F331C"/>
    <w:rsid w:val="001F3915"/>
    <w:rsid w:val="001F3B3D"/>
    <w:rsid w:val="00203EBE"/>
    <w:rsid w:val="0020473C"/>
    <w:rsid w:val="00205DC8"/>
    <w:rsid w:val="00211287"/>
    <w:rsid w:val="00214F43"/>
    <w:rsid w:val="00221841"/>
    <w:rsid w:val="00225413"/>
    <w:rsid w:val="00226734"/>
    <w:rsid w:val="002367AB"/>
    <w:rsid w:val="00237F70"/>
    <w:rsid w:val="00242F8A"/>
    <w:rsid w:val="002461B6"/>
    <w:rsid w:val="0025054B"/>
    <w:rsid w:val="00251497"/>
    <w:rsid w:val="00257224"/>
    <w:rsid w:val="00261AD7"/>
    <w:rsid w:val="00267180"/>
    <w:rsid w:val="0027685D"/>
    <w:rsid w:val="00290FF5"/>
    <w:rsid w:val="00295E67"/>
    <w:rsid w:val="00296491"/>
    <w:rsid w:val="0029774D"/>
    <w:rsid w:val="002A384E"/>
    <w:rsid w:val="002A611B"/>
    <w:rsid w:val="002A76DA"/>
    <w:rsid w:val="002C271D"/>
    <w:rsid w:val="002D1F2B"/>
    <w:rsid w:val="002D36D3"/>
    <w:rsid w:val="002D65EB"/>
    <w:rsid w:val="002E0234"/>
    <w:rsid w:val="002E380E"/>
    <w:rsid w:val="002F1518"/>
    <w:rsid w:val="002F24AA"/>
    <w:rsid w:val="002F2A32"/>
    <w:rsid w:val="002F2CBF"/>
    <w:rsid w:val="002F57EE"/>
    <w:rsid w:val="002F5F42"/>
    <w:rsid w:val="003145D6"/>
    <w:rsid w:val="00322E30"/>
    <w:rsid w:val="003243E6"/>
    <w:rsid w:val="00326664"/>
    <w:rsid w:val="0033223F"/>
    <w:rsid w:val="0033790D"/>
    <w:rsid w:val="00344770"/>
    <w:rsid w:val="00347925"/>
    <w:rsid w:val="00352492"/>
    <w:rsid w:val="003532EB"/>
    <w:rsid w:val="00353BB5"/>
    <w:rsid w:val="00364C52"/>
    <w:rsid w:val="003659E3"/>
    <w:rsid w:val="00365CEF"/>
    <w:rsid w:val="00366418"/>
    <w:rsid w:val="0037017A"/>
    <w:rsid w:val="00370D2C"/>
    <w:rsid w:val="003724B4"/>
    <w:rsid w:val="003759CA"/>
    <w:rsid w:val="00376DFE"/>
    <w:rsid w:val="00391983"/>
    <w:rsid w:val="00394D37"/>
    <w:rsid w:val="00397D62"/>
    <w:rsid w:val="003A0C93"/>
    <w:rsid w:val="003A4E92"/>
    <w:rsid w:val="003A6FAD"/>
    <w:rsid w:val="003B3A19"/>
    <w:rsid w:val="003B445D"/>
    <w:rsid w:val="003B4C3D"/>
    <w:rsid w:val="003C3525"/>
    <w:rsid w:val="003C4C9A"/>
    <w:rsid w:val="003C591F"/>
    <w:rsid w:val="003D3170"/>
    <w:rsid w:val="003D5077"/>
    <w:rsid w:val="003E1A12"/>
    <w:rsid w:val="003E517A"/>
    <w:rsid w:val="003E61D5"/>
    <w:rsid w:val="003E6B45"/>
    <w:rsid w:val="004021F4"/>
    <w:rsid w:val="0041160F"/>
    <w:rsid w:val="004162A8"/>
    <w:rsid w:val="00422ACB"/>
    <w:rsid w:val="00423A53"/>
    <w:rsid w:val="00424E22"/>
    <w:rsid w:val="00425EEA"/>
    <w:rsid w:val="00431C36"/>
    <w:rsid w:val="0043279E"/>
    <w:rsid w:val="00437D45"/>
    <w:rsid w:val="00440A84"/>
    <w:rsid w:val="00454A73"/>
    <w:rsid w:val="0046030E"/>
    <w:rsid w:val="0046034B"/>
    <w:rsid w:val="004624D2"/>
    <w:rsid w:val="00466F0C"/>
    <w:rsid w:val="004708C9"/>
    <w:rsid w:val="00485AC0"/>
    <w:rsid w:val="00485E42"/>
    <w:rsid w:val="004920D8"/>
    <w:rsid w:val="004957B6"/>
    <w:rsid w:val="00497C62"/>
    <w:rsid w:val="004A0B6E"/>
    <w:rsid w:val="004A5E93"/>
    <w:rsid w:val="004B0B41"/>
    <w:rsid w:val="004B1670"/>
    <w:rsid w:val="004B2108"/>
    <w:rsid w:val="004B340E"/>
    <w:rsid w:val="004B368B"/>
    <w:rsid w:val="004B3FA1"/>
    <w:rsid w:val="004B63A8"/>
    <w:rsid w:val="004C0F26"/>
    <w:rsid w:val="004C24C2"/>
    <w:rsid w:val="004C7993"/>
    <w:rsid w:val="004D704F"/>
    <w:rsid w:val="004E1E91"/>
    <w:rsid w:val="004E3D82"/>
    <w:rsid w:val="004F55C3"/>
    <w:rsid w:val="00504FAE"/>
    <w:rsid w:val="0050539B"/>
    <w:rsid w:val="0050757A"/>
    <w:rsid w:val="00512485"/>
    <w:rsid w:val="00513F4F"/>
    <w:rsid w:val="00520A35"/>
    <w:rsid w:val="005227D9"/>
    <w:rsid w:val="00527AA8"/>
    <w:rsid w:val="00532340"/>
    <w:rsid w:val="005369CD"/>
    <w:rsid w:val="00551431"/>
    <w:rsid w:val="0056019F"/>
    <w:rsid w:val="00560B1E"/>
    <w:rsid w:val="005615D4"/>
    <w:rsid w:val="00566F89"/>
    <w:rsid w:val="005671DA"/>
    <w:rsid w:val="00572B29"/>
    <w:rsid w:val="00576F71"/>
    <w:rsid w:val="00577F63"/>
    <w:rsid w:val="00581378"/>
    <w:rsid w:val="00582FFF"/>
    <w:rsid w:val="00587DF3"/>
    <w:rsid w:val="00590CB7"/>
    <w:rsid w:val="00595162"/>
    <w:rsid w:val="005A4A62"/>
    <w:rsid w:val="005B7356"/>
    <w:rsid w:val="005C0773"/>
    <w:rsid w:val="005C2ABB"/>
    <w:rsid w:val="005C6476"/>
    <w:rsid w:val="005D6CD9"/>
    <w:rsid w:val="005D713E"/>
    <w:rsid w:val="005E0A6B"/>
    <w:rsid w:val="005F047B"/>
    <w:rsid w:val="00602413"/>
    <w:rsid w:val="0060618B"/>
    <w:rsid w:val="00611C21"/>
    <w:rsid w:val="00616239"/>
    <w:rsid w:val="006223BC"/>
    <w:rsid w:val="00623714"/>
    <w:rsid w:val="00623FB4"/>
    <w:rsid w:val="0062455E"/>
    <w:rsid w:val="00627A79"/>
    <w:rsid w:val="00635F13"/>
    <w:rsid w:val="00641D3E"/>
    <w:rsid w:val="00643B15"/>
    <w:rsid w:val="00643DF8"/>
    <w:rsid w:val="006447AE"/>
    <w:rsid w:val="0065028F"/>
    <w:rsid w:val="00656E43"/>
    <w:rsid w:val="00657E68"/>
    <w:rsid w:val="00661977"/>
    <w:rsid w:val="00663433"/>
    <w:rsid w:val="00664698"/>
    <w:rsid w:val="006670D3"/>
    <w:rsid w:val="00671FF3"/>
    <w:rsid w:val="0067402C"/>
    <w:rsid w:val="00676DD1"/>
    <w:rsid w:val="0069484C"/>
    <w:rsid w:val="00695FAE"/>
    <w:rsid w:val="00696D86"/>
    <w:rsid w:val="006A59F4"/>
    <w:rsid w:val="006B46F7"/>
    <w:rsid w:val="006C05F4"/>
    <w:rsid w:val="006C3D94"/>
    <w:rsid w:val="006C6968"/>
    <w:rsid w:val="006D0567"/>
    <w:rsid w:val="006E4020"/>
    <w:rsid w:val="006F62AA"/>
    <w:rsid w:val="006F62F8"/>
    <w:rsid w:val="006F715F"/>
    <w:rsid w:val="0070474F"/>
    <w:rsid w:val="007075B8"/>
    <w:rsid w:val="00710102"/>
    <w:rsid w:val="00714B66"/>
    <w:rsid w:val="00722E10"/>
    <w:rsid w:val="007247C6"/>
    <w:rsid w:val="007274F6"/>
    <w:rsid w:val="00744B15"/>
    <w:rsid w:val="00746B45"/>
    <w:rsid w:val="00753519"/>
    <w:rsid w:val="0075387A"/>
    <w:rsid w:val="00754A1C"/>
    <w:rsid w:val="00755457"/>
    <w:rsid w:val="007626FF"/>
    <w:rsid w:val="00763F5E"/>
    <w:rsid w:val="00774B2E"/>
    <w:rsid w:val="00775B61"/>
    <w:rsid w:val="00777ED2"/>
    <w:rsid w:val="00783495"/>
    <w:rsid w:val="007846E5"/>
    <w:rsid w:val="007948F8"/>
    <w:rsid w:val="007961CA"/>
    <w:rsid w:val="007978EA"/>
    <w:rsid w:val="007A4351"/>
    <w:rsid w:val="007B002F"/>
    <w:rsid w:val="007B2B79"/>
    <w:rsid w:val="007B3C72"/>
    <w:rsid w:val="007B5258"/>
    <w:rsid w:val="007C771E"/>
    <w:rsid w:val="007E1580"/>
    <w:rsid w:val="007E2838"/>
    <w:rsid w:val="007E39CE"/>
    <w:rsid w:val="007E71DE"/>
    <w:rsid w:val="007E78C8"/>
    <w:rsid w:val="007F1F9E"/>
    <w:rsid w:val="007F338A"/>
    <w:rsid w:val="00801B11"/>
    <w:rsid w:val="0081038D"/>
    <w:rsid w:val="00810CB7"/>
    <w:rsid w:val="00812AAC"/>
    <w:rsid w:val="00820D21"/>
    <w:rsid w:val="00822D6E"/>
    <w:rsid w:val="008238E6"/>
    <w:rsid w:val="00823C8F"/>
    <w:rsid w:val="00824ECB"/>
    <w:rsid w:val="008253CC"/>
    <w:rsid w:val="008255CE"/>
    <w:rsid w:val="00830CF6"/>
    <w:rsid w:val="0084044B"/>
    <w:rsid w:val="008408AD"/>
    <w:rsid w:val="00843D40"/>
    <w:rsid w:val="00846DC9"/>
    <w:rsid w:val="0085196C"/>
    <w:rsid w:val="008525CE"/>
    <w:rsid w:val="00853217"/>
    <w:rsid w:val="00853688"/>
    <w:rsid w:val="008618CD"/>
    <w:rsid w:val="008656B0"/>
    <w:rsid w:val="008668E1"/>
    <w:rsid w:val="008670B0"/>
    <w:rsid w:val="008718F3"/>
    <w:rsid w:val="00871E72"/>
    <w:rsid w:val="008765BA"/>
    <w:rsid w:val="008804B5"/>
    <w:rsid w:val="00887351"/>
    <w:rsid w:val="00896600"/>
    <w:rsid w:val="008A468D"/>
    <w:rsid w:val="008B1A35"/>
    <w:rsid w:val="008B3D1B"/>
    <w:rsid w:val="008B6580"/>
    <w:rsid w:val="008B7C12"/>
    <w:rsid w:val="008C2513"/>
    <w:rsid w:val="008C5AD7"/>
    <w:rsid w:val="008C73C5"/>
    <w:rsid w:val="008D3D06"/>
    <w:rsid w:val="008E12D2"/>
    <w:rsid w:val="008E351F"/>
    <w:rsid w:val="008E4C26"/>
    <w:rsid w:val="008F358A"/>
    <w:rsid w:val="00900F82"/>
    <w:rsid w:val="00906B16"/>
    <w:rsid w:val="009171B6"/>
    <w:rsid w:val="009276DC"/>
    <w:rsid w:val="00931CF4"/>
    <w:rsid w:val="00933BCD"/>
    <w:rsid w:val="009371A2"/>
    <w:rsid w:val="009379DF"/>
    <w:rsid w:val="00940073"/>
    <w:rsid w:val="00941D18"/>
    <w:rsid w:val="00942638"/>
    <w:rsid w:val="00943B3F"/>
    <w:rsid w:val="00944ABD"/>
    <w:rsid w:val="009455BC"/>
    <w:rsid w:val="00946852"/>
    <w:rsid w:val="00951FD2"/>
    <w:rsid w:val="00952032"/>
    <w:rsid w:val="00961652"/>
    <w:rsid w:val="0096165B"/>
    <w:rsid w:val="00970041"/>
    <w:rsid w:val="00974D63"/>
    <w:rsid w:val="009773F9"/>
    <w:rsid w:val="00977637"/>
    <w:rsid w:val="00981134"/>
    <w:rsid w:val="00983F65"/>
    <w:rsid w:val="00986420"/>
    <w:rsid w:val="009866C5"/>
    <w:rsid w:val="00987164"/>
    <w:rsid w:val="00987DC2"/>
    <w:rsid w:val="009A07C0"/>
    <w:rsid w:val="009A23B1"/>
    <w:rsid w:val="009B4377"/>
    <w:rsid w:val="009E6A47"/>
    <w:rsid w:val="009F2E37"/>
    <w:rsid w:val="00A00860"/>
    <w:rsid w:val="00A02B49"/>
    <w:rsid w:val="00A03E73"/>
    <w:rsid w:val="00A04105"/>
    <w:rsid w:val="00A10D56"/>
    <w:rsid w:val="00A132AE"/>
    <w:rsid w:val="00A15273"/>
    <w:rsid w:val="00A231D9"/>
    <w:rsid w:val="00A31343"/>
    <w:rsid w:val="00A34147"/>
    <w:rsid w:val="00A34F08"/>
    <w:rsid w:val="00A43F88"/>
    <w:rsid w:val="00A47AEF"/>
    <w:rsid w:val="00A6016E"/>
    <w:rsid w:val="00A62129"/>
    <w:rsid w:val="00A624B1"/>
    <w:rsid w:val="00A659F8"/>
    <w:rsid w:val="00A75C66"/>
    <w:rsid w:val="00A80151"/>
    <w:rsid w:val="00A812E5"/>
    <w:rsid w:val="00A821A8"/>
    <w:rsid w:val="00A82563"/>
    <w:rsid w:val="00A87C28"/>
    <w:rsid w:val="00A94CF1"/>
    <w:rsid w:val="00A964DD"/>
    <w:rsid w:val="00AA2C76"/>
    <w:rsid w:val="00AA7272"/>
    <w:rsid w:val="00AA7A84"/>
    <w:rsid w:val="00AB0FB6"/>
    <w:rsid w:val="00AB2A6D"/>
    <w:rsid w:val="00AB5DEB"/>
    <w:rsid w:val="00AC344E"/>
    <w:rsid w:val="00AD1840"/>
    <w:rsid w:val="00AD6AC5"/>
    <w:rsid w:val="00AD70EC"/>
    <w:rsid w:val="00AE1F02"/>
    <w:rsid w:val="00AE5338"/>
    <w:rsid w:val="00AE7889"/>
    <w:rsid w:val="00B000E6"/>
    <w:rsid w:val="00B029BF"/>
    <w:rsid w:val="00B04ABD"/>
    <w:rsid w:val="00B13AD5"/>
    <w:rsid w:val="00B31863"/>
    <w:rsid w:val="00B335EA"/>
    <w:rsid w:val="00B4385D"/>
    <w:rsid w:val="00B45951"/>
    <w:rsid w:val="00B47588"/>
    <w:rsid w:val="00B503B0"/>
    <w:rsid w:val="00B55674"/>
    <w:rsid w:val="00B66DDF"/>
    <w:rsid w:val="00B72BF8"/>
    <w:rsid w:val="00B75470"/>
    <w:rsid w:val="00B8020D"/>
    <w:rsid w:val="00B8022A"/>
    <w:rsid w:val="00B852FA"/>
    <w:rsid w:val="00B86510"/>
    <w:rsid w:val="00B9689E"/>
    <w:rsid w:val="00B971C3"/>
    <w:rsid w:val="00BB7E01"/>
    <w:rsid w:val="00BC3D75"/>
    <w:rsid w:val="00BC74BF"/>
    <w:rsid w:val="00BD7BDF"/>
    <w:rsid w:val="00BE1BD6"/>
    <w:rsid w:val="00BF4305"/>
    <w:rsid w:val="00C02015"/>
    <w:rsid w:val="00C05FA0"/>
    <w:rsid w:val="00C06A60"/>
    <w:rsid w:val="00C06C4C"/>
    <w:rsid w:val="00C0779F"/>
    <w:rsid w:val="00C07D04"/>
    <w:rsid w:val="00C1374C"/>
    <w:rsid w:val="00C13F63"/>
    <w:rsid w:val="00C167B7"/>
    <w:rsid w:val="00C1748A"/>
    <w:rsid w:val="00C23AF7"/>
    <w:rsid w:val="00C32DCC"/>
    <w:rsid w:val="00C33FD7"/>
    <w:rsid w:val="00C3558D"/>
    <w:rsid w:val="00C36970"/>
    <w:rsid w:val="00C419D8"/>
    <w:rsid w:val="00C4233F"/>
    <w:rsid w:val="00C4383A"/>
    <w:rsid w:val="00C50DB4"/>
    <w:rsid w:val="00C53371"/>
    <w:rsid w:val="00C575B6"/>
    <w:rsid w:val="00C57885"/>
    <w:rsid w:val="00C60C82"/>
    <w:rsid w:val="00C614A8"/>
    <w:rsid w:val="00C61D9C"/>
    <w:rsid w:val="00C626E0"/>
    <w:rsid w:val="00C76299"/>
    <w:rsid w:val="00C76691"/>
    <w:rsid w:val="00C822D9"/>
    <w:rsid w:val="00C923A3"/>
    <w:rsid w:val="00C957F6"/>
    <w:rsid w:val="00CD25D7"/>
    <w:rsid w:val="00CD3B8F"/>
    <w:rsid w:val="00CD70D1"/>
    <w:rsid w:val="00CE2459"/>
    <w:rsid w:val="00CF24BD"/>
    <w:rsid w:val="00CF3318"/>
    <w:rsid w:val="00CF5B20"/>
    <w:rsid w:val="00CF5EA8"/>
    <w:rsid w:val="00D03BC7"/>
    <w:rsid w:val="00D03C81"/>
    <w:rsid w:val="00D069A2"/>
    <w:rsid w:val="00D124A0"/>
    <w:rsid w:val="00D15161"/>
    <w:rsid w:val="00D22512"/>
    <w:rsid w:val="00D26E82"/>
    <w:rsid w:val="00D3054C"/>
    <w:rsid w:val="00D32A3C"/>
    <w:rsid w:val="00D354EA"/>
    <w:rsid w:val="00D37443"/>
    <w:rsid w:val="00D378EB"/>
    <w:rsid w:val="00D4006C"/>
    <w:rsid w:val="00D52192"/>
    <w:rsid w:val="00D56DD4"/>
    <w:rsid w:val="00D612EA"/>
    <w:rsid w:val="00D61AB3"/>
    <w:rsid w:val="00D65784"/>
    <w:rsid w:val="00D72C51"/>
    <w:rsid w:val="00D82B12"/>
    <w:rsid w:val="00D84CE8"/>
    <w:rsid w:val="00D908E5"/>
    <w:rsid w:val="00D927BC"/>
    <w:rsid w:val="00D9623A"/>
    <w:rsid w:val="00DA3386"/>
    <w:rsid w:val="00DB20CF"/>
    <w:rsid w:val="00DB5D69"/>
    <w:rsid w:val="00DB6ED3"/>
    <w:rsid w:val="00DC6946"/>
    <w:rsid w:val="00DC7FA8"/>
    <w:rsid w:val="00DD1FEE"/>
    <w:rsid w:val="00DD5FC5"/>
    <w:rsid w:val="00DE0F55"/>
    <w:rsid w:val="00DE4129"/>
    <w:rsid w:val="00DE62CB"/>
    <w:rsid w:val="00DE6779"/>
    <w:rsid w:val="00DF3B65"/>
    <w:rsid w:val="00DF5F04"/>
    <w:rsid w:val="00E03CE2"/>
    <w:rsid w:val="00E07E7D"/>
    <w:rsid w:val="00E3567D"/>
    <w:rsid w:val="00E40710"/>
    <w:rsid w:val="00E5084C"/>
    <w:rsid w:val="00E60ED2"/>
    <w:rsid w:val="00E64674"/>
    <w:rsid w:val="00E65BEF"/>
    <w:rsid w:val="00E71D7D"/>
    <w:rsid w:val="00E74545"/>
    <w:rsid w:val="00E77CAA"/>
    <w:rsid w:val="00E80587"/>
    <w:rsid w:val="00E80BD4"/>
    <w:rsid w:val="00EC742E"/>
    <w:rsid w:val="00ED0157"/>
    <w:rsid w:val="00ED0AD5"/>
    <w:rsid w:val="00EE25DF"/>
    <w:rsid w:val="00EE58DC"/>
    <w:rsid w:val="00EF1808"/>
    <w:rsid w:val="00EF5696"/>
    <w:rsid w:val="00F01A2B"/>
    <w:rsid w:val="00F03586"/>
    <w:rsid w:val="00F12E19"/>
    <w:rsid w:val="00F228E4"/>
    <w:rsid w:val="00F22AA6"/>
    <w:rsid w:val="00F31A29"/>
    <w:rsid w:val="00F42D09"/>
    <w:rsid w:val="00F5582E"/>
    <w:rsid w:val="00F6202B"/>
    <w:rsid w:val="00F67D23"/>
    <w:rsid w:val="00F70C3D"/>
    <w:rsid w:val="00F73F38"/>
    <w:rsid w:val="00F750AB"/>
    <w:rsid w:val="00F7515C"/>
    <w:rsid w:val="00F75453"/>
    <w:rsid w:val="00F76A9B"/>
    <w:rsid w:val="00F80CF0"/>
    <w:rsid w:val="00F93D8A"/>
    <w:rsid w:val="00FA4889"/>
    <w:rsid w:val="00FA5AF3"/>
    <w:rsid w:val="00FA7404"/>
    <w:rsid w:val="00FB193F"/>
    <w:rsid w:val="00FB4692"/>
    <w:rsid w:val="00FC0971"/>
    <w:rsid w:val="00FC3AAC"/>
    <w:rsid w:val="00FC5C02"/>
    <w:rsid w:val="00FC5C63"/>
    <w:rsid w:val="00FC7D48"/>
    <w:rsid w:val="00FD6D8A"/>
    <w:rsid w:val="00FD7503"/>
    <w:rsid w:val="00FE4830"/>
    <w:rsid w:val="00FE7948"/>
    <w:rsid w:val="00FF04DC"/>
    <w:rsid w:val="00FF05FE"/>
    <w:rsid w:val="029CBBED"/>
    <w:rsid w:val="0974045A"/>
    <w:rsid w:val="0A17C741"/>
    <w:rsid w:val="0B945955"/>
    <w:rsid w:val="0CD12E23"/>
    <w:rsid w:val="0DFE8DB0"/>
    <w:rsid w:val="1026FF19"/>
    <w:rsid w:val="1187E3E5"/>
    <w:rsid w:val="12093D9E"/>
    <w:rsid w:val="132A6570"/>
    <w:rsid w:val="174F0CFD"/>
    <w:rsid w:val="19D1F947"/>
    <w:rsid w:val="1BCC4413"/>
    <w:rsid w:val="1EE6BEC0"/>
    <w:rsid w:val="233D3779"/>
    <w:rsid w:val="29D1A40A"/>
    <w:rsid w:val="2E791476"/>
    <w:rsid w:val="375BD46E"/>
    <w:rsid w:val="3EA4FFE6"/>
    <w:rsid w:val="3EF7B8AA"/>
    <w:rsid w:val="40BB4667"/>
    <w:rsid w:val="452DF5B2"/>
    <w:rsid w:val="45329460"/>
    <w:rsid w:val="45C9084C"/>
    <w:rsid w:val="46AB6921"/>
    <w:rsid w:val="46BB3FF5"/>
    <w:rsid w:val="4AE46F63"/>
    <w:rsid w:val="4BE61B27"/>
    <w:rsid w:val="4EB2CC3F"/>
    <w:rsid w:val="4EDA8DCC"/>
    <w:rsid w:val="5562C5C6"/>
    <w:rsid w:val="592819F5"/>
    <w:rsid w:val="5A45AEA8"/>
    <w:rsid w:val="5CF35634"/>
    <w:rsid w:val="5DC00AE4"/>
    <w:rsid w:val="63E192EC"/>
    <w:rsid w:val="63E307B8"/>
    <w:rsid w:val="64C5CA27"/>
    <w:rsid w:val="661558D1"/>
    <w:rsid w:val="6AA0E2EA"/>
    <w:rsid w:val="6ACC232C"/>
    <w:rsid w:val="6C5A14F3"/>
    <w:rsid w:val="6FCA16AE"/>
    <w:rsid w:val="712DF663"/>
    <w:rsid w:val="7A775DD1"/>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B5E76F"/>
  <w15:docId w15:val="{9895596E-0186-43CB-9817-53FE31DA62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pt-BR" w:eastAsia="pt-BR" w:bidi="ar-SA"/>
      </w:rPr>
    </w:rPrDefault>
    <w:pPrDefault>
      <w:pPr>
        <w:spacing w:before="240" w:after="24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smallCaps/>
      <w:sz w:val="28"/>
      <w:szCs w:val="28"/>
    </w:rPr>
  </w:style>
  <w:style w:type="paragraph" w:styleId="Heading2">
    <w:name w:val="heading 2"/>
    <w:basedOn w:val="Normal"/>
    <w:next w:val="Normal"/>
    <w:uiPriority w:val="9"/>
    <w:unhideWhenUsed/>
    <w:qFormat/>
    <w:pPr>
      <w:keepNext/>
      <w:keepLines/>
      <w:spacing w:before="0" w:after="0" w:line="240" w:lineRule="auto"/>
      <w:outlineLvl w:val="1"/>
    </w:pPr>
    <w:rPr>
      <w:b/>
      <w:sz w:val="28"/>
      <w:szCs w:val="28"/>
    </w:rPr>
  </w:style>
  <w:style w:type="paragraph" w:styleId="Heading3">
    <w:name w:val="heading 3"/>
    <w:basedOn w:val="Normal"/>
    <w:next w:val="Normal"/>
    <w:uiPriority w:val="9"/>
    <w:unhideWhenUsed/>
    <w:qFormat/>
    <w:pPr>
      <w:keepNext/>
      <w:keepLines/>
      <w:outlineLvl w:val="2"/>
    </w:pPr>
    <w:rPr>
      <w:i/>
    </w:rPr>
  </w:style>
  <w:style w:type="paragraph" w:styleId="Heading4">
    <w:name w:val="heading 4"/>
    <w:basedOn w:val="Normal"/>
    <w:next w:val="Normal"/>
    <w:uiPriority w:val="9"/>
    <w:unhideWhenUsed/>
    <w:qFormat/>
    <w:pPr>
      <w:keepNext/>
      <w:keepLines/>
      <w:spacing w:before="120" w:after="120" w:line="240" w:lineRule="auto"/>
      <w:jc w:val="center"/>
      <w:outlineLvl w:val="3"/>
    </w:pPr>
  </w:style>
  <w:style w:type="paragraph" w:styleId="Heading5">
    <w:name w:val="heading 5"/>
    <w:basedOn w:val="Normal"/>
    <w:next w:val="Normal"/>
    <w:uiPriority w:val="9"/>
    <w:semiHidden/>
    <w:unhideWhenUsed/>
    <w:qFormat/>
    <w:pPr>
      <w:keepNext/>
      <w:keepLines/>
      <w:spacing w:before="120" w:after="120" w:line="240" w:lineRule="auto"/>
      <w:outlineLvl w:val="4"/>
    </w:pPr>
    <w:rPr>
      <w:i/>
      <w:sz w:val="18"/>
      <w:szCs w:val="18"/>
    </w:rPr>
  </w:style>
  <w:style w:type="paragraph" w:styleId="Heading6">
    <w:name w:val="heading 6"/>
    <w:basedOn w:val="Normal"/>
    <w:next w:val="Normal"/>
    <w:uiPriority w:val="9"/>
    <w:semiHidden/>
    <w:unhideWhenUsed/>
    <w:qFormat/>
    <w:pPr>
      <w:keepNext/>
      <w:keepLines/>
      <w:spacing w:before="0" w:after="120"/>
      <w:jc w:val="center"/>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70" w:type="dxa"/>
        <w:right w:w="70" w:type="dxa"/>
      </w:tblCellMar>
    </w:tblPr>
  </w:style>
  <w:style w:type="table" w:customStyle="1" w:styleId="ae">
    <w:basedOn w:val="TableNormal"/>
    <w:tblPr>
      <w:tblStyleRowBandSize w:val="1"/>
      <w:tblStyleColBandSize w:val="1"/>
      <w:tblCellMar>
        <w:left w:w="70" w:type="dxa"/>
        <w:right w:w="70" w:type="dxa"/>
      </w:tblCellMar>
    </w:tblPr>
  </w:style>
  <w:style w:type="table" w:customStyle="1" w:styleId="af">
    <w:basedOn w:val="TableNormal"/>
    <w:tblPr>
      <w:tblStyleRowBandSize w:val="1"/>
      <w:tblStyleColBandSize w:val="1"/>
      <w:tblCellMar>
        <w:left w:w="70" w:type="dxa"/>
        <w:right w:w="70" w:type="dxa"/>
      </w:tblCellMar>
    </w:tblPr>
  </w:style>
  <w:style w:type="table" w:customStyle="1" w:styleId="af0">
    <w:basedOn w:val="TableNormal"/>
    <w:tblPr>
      <w:tblStyleRowBandSize w:val="1"/>
      <w:tblStyleColBandSize w:val="1"/>
      <w:tblCellMar>
        <w:left w:w="70" w:type="dxa"/>
        <w:right w:w="70" w:type="dxa"/>
      </w:tblCellMar>
    </w:tblPr>
  </w:style>
  <w:style w:type="table" w:customStyle="1" w:styleId="af1">
    <w:basedOn w:val="TableNormal"/>
    <w:tblPr>
      <w:tblStyleRowBandSize w:val="1"/>
      <w:tblStyleColBandSize w:val="1"/>
      <w:tblCellMar>
        <w:left w:w="70" w:type="dxa"/>
        <w:right w:w="70" w:type="dxa"/>
      </w:tblCellMar>
    </w:tblPr>
  </w:style>
  <w:style w:type="table" w:customStyle="1" w:styleId="af2">
    <w:basedOn w:val="TableNormal"/>
    <w:tblPr>
      <w:tblStyleRowBandSize w:val="1"/>
      <w:tblStyleColBandSize w:val="1"/>
      <w:tblCellMar>
        <w:left w:w="70" w:type="dxa"/>
        <w:right w:w="70" w:type="dxa"/>
      </w:tblCellMar>
    </w:tblPr>
  </w:style>
  <w:style w:type="table" w:customStyle="1" w:styleId="af3">
    <w:basedOn w:val="TableNormal"/>
    <w:pPr>
      <w:spacing w:after="0" w:line="240" w:lineRule="auto"/>
    </w:pPr>
    <w:tblPr>
      <w:tblStyleRowBandSize w:val="1"/>
      <w:tblStyleColBandSize w:val="1"/>
    </w:tblPr>
  </w:style>
  <w:style w:type="table" w:customStyle="1" w:styleId="af4">
    <w:basedOn w:val="TableNormal"/>
    <w:tblPr>
      <w:tblStyleRowBandSize w:val="1"/>
      <w:tblStyleColBandSize w:val="1"/>
      <w:tblCellMar>
        <w:left w:w="70" w:type="dxa"/>
        <w:right w:w="70" w:type="dxa"/>
      </w:tblCellMar>
    </w:tblPr>
  </w:style>
  <w:style w:type="table" w:customStyle="1" w:styleId="af5">
    <w:basedOn w:val="TableNormal"/>
    <w:pPr>
      <w:spacing w:after="0" w:line="240" w:lineRule="auto"/>
    </w:pPr>
    <w:tblPr>
      <w:tblStyleRowBandSize w:val="1"/>
      <w:tblStyleColBandSize w:val="1"/>
    </w:tblPr>
  </w:style>
  <w:style w:type="table" w:customStyle="1" w:styleId="af6">
    <w:basedOn w:val="TableNormal"/>
    <w:tblPr>
      <w:tblStyleRowBandSize w:val="1"/>
      <w:tblStyleColBandSize w:val="1"/>
      <w:tblCellMar>
        <w:left w:w="70" w:type="dxa"/>
        <w:right w:w="70"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70" w:type="dxa"/>
        <w:right w:w="70" w:type="dxa"/>
      </w:tblCellMar>
    </w:tblPr>
  </w:style>
  <w:style w:type="table" w:customStyle="1" w:styleId="af9">
    <w:basedOn w:val="TableNormal"/>
    <w:tblPr>
      <w:tblStyleRowBandSize w:val="1"/>
      <w:tblStyleColBandSize w:val="1"/>
      <w:tblCellMar>
        <w:left w:w="0" w:type="dxa"/>
        <w:right w:w="0" w:type="dxa"/>
      </w:tblCellMar>
    </w:tblPr>
  </w:style>
  <w:style w:type="table" w:customStyle="1" w:styleId="afa">
    <w:basedOn w:val="TableNormal"/>
    <w:tblPr>
      <w:tblStyleRowBandSize w:val="1"/>
      <w:tblStyleColBandSize w:val="1"/>
      <w:tblCellMar>
        <w:left w:w="70" w:type="dxa"/>
        <w:right w:w="70" w:type="dxa"/>
      </w:tblCellMar>
    </w:tblPr>
  </w:style>
  <w:style w:type="table" w:customStyle="1" w:styleId="afb">
    <w:basedOn w:val="TableNormal"/>
    <w:tblPr>
      <w:tblStyleRowBandSize w:val="1"/>
      <w:tblStyleColBandSize w:val="1"/>
      <w:tblCellMar>
        <w:left w:w="70" w:type="dxa"/>
        <w:right w:w="70"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70" w:type="dxa"/>
        <w:right w:w="70"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70" w:type="dxa"/>
        <w:right w:w="70" w:type="dxa"/>
      </w:tblCellMar>
    </w:tblPr>
  </w:style>
  <w:style w:type="table" w:customStyle="1" w:styleId="aff0">
    <w:basedOn w:val="TableNormal"/>
    <w:tblPr>
      <w:tblStyleRowBandSize w:val="1"/>
      <w:tblStyleColBandSize w:val="1"/>
      <w:tblCellMar>
        <w:left w:w="70" w:type="dxa"/>
        <w:right w:w="70"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70" w:type="dxa"/>
        <w:right w:w="70" w:type="dxa"/>
      </w:tblCellMar>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tblPr>
      <w:tblStyleRowBandSize w:val="1"/>
      <w:tblStyleColBandSize w:val="1"/>
      <w:tblCellMar>
        <w:left w:w="70" w:type="dxa"/>
        <w:right w:w="70" w:type="dxa"/>
      </w:tblCellMar>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tblPr>
      <w:tblStyleRowBandSize w:val="1"/>
      <w:tblStyleColBandSize w:val="1"/>
      <w:tblCellMar>
        <w:left w:w="70" w:type="dxa"/>
        <w:right w:w="70" w:type="dxa"/>
      </w:tblCellMar>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tblPr>
      <w:tblStyleRowBandSize w:val="1"/>
      <w:tblStyleColBandSize w:val="1"/>
      <w:tblCellMar>
        <w:left w:w="70" w:type="dxa"/>
        <w:right w:w="70"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70" w:type="dxa"/>
        <w:right w:w="70"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70" w:type="dxa"/>
        <w:right w:w="70" w:type="dxa"/>
      </w:tblCellMar>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tblPr>
      <w:tblStyleRowBandSize w:val="1"/>
      <w:tblStyleColBandSize w:val="1"/>
      <w:tblCellMar>
        <w:left w:w="70" w:type="dxa"/>
        <w:right w:w="70" w:type="dxa"/>
      </w:tblCellMar>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tblPr>
      <w:tblStyleRowBandSize w:val="1"/>
      <w:tblStyleColBandSize w:val="1"/>
      <w:tblCellMar>
        <w:left w:w="70" w:type="dxa"/>
        <w:right w:w="70" w:type="dxa"/>
      </w:tblCellMar>
    </w:tblPr>
  </w:style>
  <w:style w:type="table" w:customStyle="1" w:styleId="afff2">
    <w:basedOn w:val="TableNormal"/>
    <w:tblPr>
      <w:tblStyleRowBandSize w:val="1"/>
      <w:tblStyleColBandSize w:val="1"/>
      <w:tblCellMar>
        <w:left w:w="70" w:type="dxa"/>
        <w:right w:w="70"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pPr>
      <w:spacing w:after="0" w:line="240" w:lineRule="auto"/>
    </w:pPr>
    <w:tblPr>
      <w:tblStyleRowBandSize w:val="1"/>
      <w:tblStyleColBandSize w:val="1"/>
    </w:tblPr>
  </w:style>
  <w:style w:type="table" w:customStyle="1" w:styleId="afff5">
    <w:basedOn w:val="TableNormal"/>
    <w:tblPr>
      <w:tblStyleRowBandSize w:val="1"/>
      <w:tblStyleColBandSize w:val="1"/>
      <w:tblCellMar>
        <w:left w:w="70" w:type="dxa"/>
        <w:right w:w="70" w:type="dxa"/>
      </w:tblCellMar>
    </w:tblPr>
  </w:style>
  <w:style w:type="table" w:customStyle="1" w:styleId="afff6">
    <w:basedOn w:val="TableNormal"/>
    <w:pPr>
      <w:spacing w:after="0" w:line="240" w:lineRule="auto"/>
    </w:pPr>
    <w:tblPr>
      <w:tblStyleRowBandSize w:val="1"/>
      <w:tblStyleColBandSize w:val="1"/>
    </w:tblPr>
  </w:style>
  <w:style w:type="table" w:customStyle="1" w:styleId="afff7">
    <w:basedOn w:val="TableNormal"/>
    <w:tblPr>
      <w:tblStyleRowBandSize w:val="1"/>
      <w:tblStyleColBandSize w:val="1"/>
      <w:tblCellMar>
        <w:left w:w="70" w:type="dxa"/>
        <w:right w:w="70" w:type="dxa"/>
      </w:tblCellMar>
    </w:tblPr>
  </w:style>
  <w:style w:type="table" w:customStyle="1" w:styleId="afff8">
    <w:basedOn w:val="TableNormal"/>
    <w:pPr>
      <w:spacing w:after="0" w:line="240" w:lineRule="auto"/>
    </w:pPr>
    <w:tblPr>
      <w:tblStyleRowBandSize w:val="1"/>
      <w:tblStyleColBandSize w:val="1"/>
    </w:tblPr>
  </w:style>
  <w:style w:type="table" w:customStyle="1" w:styleId="afff9">
    <w:basedOn w:val="TableNormal"/>
    <w:tblPr>
      <w:tblStyleRowBandSize w:val="1"/>
      <w:tblStyleColBandSize w:val="1"/>
      <w:tblCellMar>
        <w:left w:w="70" w:type="dxa"/>
        <w:right w:w="70" w:type="dxa"/>
      </w:tblCellMar>
    </w:tblPr>
  </w:style>
  <w:style w:type="table" w:customStyle="1" w:styleId="afffa">
    <w:basedOn w:val="TableNormal"/>
    <w:pPr>
      <w:spacing w:after="0" w:line="240" w:lineRule="auto"/>
    </w:pPr>
    <w:tblPr>
      <w:tblStyleRowBandSize w:val="1"/>
      <w:tblStyleColBandSize w:val="1"/>
    </w:tblPr>
  </w:style>
  <w:style w:type="table" w:customStyle="1" w:styleId="afffb">
    <w:basedOn w:val="TableNormal"/>
    <w:tblPr>
      <w:tblStyleRowBandSize w:val="1"/>
      <w:tblStyleColBandSize w:val="1"/>
      <w:tblCellMar>
        <w:left w:w="70" w:type="dxa"/>
        <w:right w:w="70"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70" w:type="dxa"/>
        <w:right w:w="70" w:type="dxa"/>
      </w:tblCellMar>
    </w:tblPr>
  </w:style>
  <w:style w:type="table" w:customStyle="1" w:styleId="affff">
    <w:basedOn w:val="TableNormal"/>
    <w:tblPr>
      <w:tblStyleRowBandSize w:val="1"/>
      <w:tblStyleColBandSize w:val="1"/>
      <w:tblCellMar>
        <w:left w:w="70" w:type="dxa"/>
        <w:right w:w="70" w:type="dxa"/>
      </w:tblCellMar>
    </w:tblPr>
  </w:style>
  <w:style w:type="table" w:customStyle="1" w:styleId="affff0">
    <w:basedOn w:val="TableNormal"/>
    <w:tblPr>
      <w:tblStyleRowBandSize w:val="1"/>
      <w:tblStyleColBandSize w:val="1"/>
      <w:tblCellMar>
        <w:left w:w="70" w:type="dxa"/>
        <w:right w:w="70" w:type="dxa"/>
      </w:tblCellMar>
    </w:tblPr>
  </w:style>
  <w:style w:type="table" w:customStyle="1" w:styleId="affff1">
    <w:basedOn w:val="TableNormal"/>
    <w:tblPr>
      <w:tblStyleRowBandSize w:val="1"/>
      <w:tblStyleColBandSize w:val="1"/>
      <w:tblCellMar>
        <w:left w:w="70" w:type="dxa"/>
        <w:right w:w="70" w:type="dxa"/>
      </w:tblCellMar>
    </w:tblPr>
  </w:style>
  <w:style w:type="table" w:customStyle="1" w:styleId="affff2">
    <w:basedOn w:val="TableNormal"/>
    <w:tblPr>
      <w:tblStyleRowBandSize w:val="1"/>
      <w:tblStyleColBandSize w:val="1"/>
      <w:tblCellMar>
        <w:left w:w="70" w:type="dxa"/>
        <w:right w:w="70" w:type="dxa"/>
      </w:tblCellMar>
    </w:tblPr>
  </w:style>
  <w:style w:type="table" w:customStyle="1" w:styleId="affff3">
    <w:basedOn w:val="TableNormal"/>
    <w:tblPr>
      <w:tblStyleRowBandSize w:val="1"/>
      <w:tblStyleColBandSize w:val="1"/>
      <w:tblCellMar>
        <w:left w:w="70" w:type="dxa"/>
        <w:right w:w="70" w:type="dxa"/>
      </w:tblCellMar>
    </w:tblPr>
  </w:style>
  <w:style w:type="table" w:customStyle="1" w:styleId="affff4">
    <w:basedOn w:val="TableNormal"/>
    <w:tblPr>
      <w:tblStyleRowBandSize w:val="1"/>
      <w:tblStyleColBandSize w:val="1"/>
      <w:tblCellMar>
        <w:left w:w="70" w:type="dxa"/>
        <w:right w:w="70" w:type="dxa"/>
      </w:tblCellMar>
    </w:tblPr>
  </w:style>
  <w:style w:type="table" w:customStyle="1" w:styleId="affff5">
    <w:basedOn w:val="TableNormal"/>
    <w:tblPr>
      <w:tblStyleRowBandSize w:val="1"/>
      <w:tblStyleColBandSize w:val="1"/>
      <w:tblCellMar>
        <w:left w:w="70" w:type="dxa"/>
        <w:right w:w="70" w:type="dxa"/>
      </w:tblCellMar>
    </w:tblPr>
  </w:style>
  <w:style w:type="table" w:customStyle="1" w:styleId="affff6">
    <w:basedOn w:val="TableNormal"/>
    <w:tblPr>
      <w:tblStyleRowBandSize w:val="1"/>
      <w:tblStyleColBandSize w:val="1"/>
      <w:tblCellMar>
        <w:left w:w="70" w:type="dxa"/>
        <w:right w:w="70" w:type="dxa"/>
      </w:tblCellMar>
    </w:tblPr>
  </w:style>
  <w:style w:type="table" w:customStyle="1" w:styleId="affff7">
    <w:basedOn w:val="TableNormal"/>
    <w:tblPr>
      <w:tblStyleRowBandSize w:val="1"/>
      <w:tblStyleColBandSize w:val="1"/>
      <w:tblCellMar>
        <w:left w:w="70" w:type="dxa"/>
        <w:right w:w="70" w:type="dxa"/>
      </w:tblCellMar>
    </w:tblPr>
  </w:style>
  <w:style w:type="table" w:customStyle="1" w:styleId="affff8">
    <w:basedOn w:val="TableNormal"/>
    <w:tblPr>
      <w:tblStyleRowBandSize w:val="1"/>
      <w:tblStyleColBandSize w:val="1"/>
      <w:tblCellMar>
        <w:left w:w="70" w:type="dxa"/>
        <w:right w:w="70" w:type="dxa"/>
      </w:tblCellMar>
    </w:tblPr>
  </w:style>
  <w:style w:type="table" w:customStyle="1" w:styleId="affff9">
    <w:basedOn w:val="TableNormal"/>
    <w:tblPr>
      <w:tblStyleRowBandSize w:val="1"/>
      <w:tblStyleColBandSize w:val="1"/>
      <w:tblCellMar>
        <w:left w:w="70" w:type="dxa"/>
        <w:right w:w="7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E30BB"/>
    <w:pPr>
      <w:spacing w:before="0"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E30BB"/>
    <w:rPr>
      <w:rFonts w:ascii="Times New Roman" w:hAnsi="Times New Roman" w:cs="Times New Roman"/>
      <w:sz w:val="18"/>
      <w:szCs w:val="18"/>
    </w:rPr>
  </w:style>
  <w:style w:type="paragraph" w:styleId="TOC4">
    <w:name w:val="toc 4"/>
    <w:basedOn w:val="Normal"/>
    <w:next w:val="Normal"/>
    <w:autoRedefine/>
    <w:uiPriority w:val="39"/>
    <w:unhideWhenUsed/>
    <w:rsid w:val="00CE30BB"/>
    <w:pPr>
      <w:spacing w:after="100"/>
      <w:ind w:left="660"/>
    </w:pPr>
  </w:style>
  <w:style w:type="paragraph" w:styleId="TOC1">
    <w:name w:val="toc 1"/>
    <w:basedOn w:val="Normal"/>
    <w:next w:val="Normal"/>
    <w:autoRedefine/>
    <w:uiPriority w:val="39"/>
    <w:unhideWhenUsed/>
    <w:rsid w:val="00CE30BB"/>
    <w:pPr>
      <w:spacing w:after="100"/>
    </w:pPr>
  </w:style>
  <w:style w:type="paragraph" w:styleId="TOC2">
    <w:name w:val="toc 2"/>
    <w:basedOn w:val="Normal"/>
    <w:next w:val="Normal"/>
    <w:autoRedefine/>
    <w:uiPriority w:val="39"/>
    <w:unhideWhenUsed/>
    <w:rsid w:val="00CE30BB"/>
    <w:pPr>
      <w:spacing w:after="100"/>
      <w:ind w:left="220"/>
    </w:pPr>
  </w:style>
  <w:style w:type="character" w:styleId="Hyperlink">
    <w:name w:val="Hyperlink"/>
    <w:basedOn w:val="DefaultParagraphFont"/>
    <w:uiPriority w:val="99"/>
    <w:unhideWhenUsed/>
    <w:rsid w:val="00CE30BB"/>
    <w:rPr>
      <w:color w:val="0000FF" w:themeColor="hyperlink"/>
      <w:u w:val="single"/>
    </w:rPr>
  </w:style>
  <w:style w:type="paragraph" w:styleId="Revision">
    <w:name w:val="Revision"/>
    <w:hidden/>
    <w:uiPriority w:val="99"/>
    <w:semiHidden/>
    <w:rsid w:val="006B2A51"/>
    <w:pPr>
      <w:spacing w:before="0" w:after="0" w:line="240" w:lineRule="auto"/>
      <w:jc w:val="left"/>
    </w:pPr>
  </w:style>
  <w:style w:type="paragraph" w:styleId="CommentSubject">
    <w:name w:val="annotation subject"/>
    <w:basedOn w:val="CommentText"/>
    <w:next w:val="CommentText"/>
    <w:link w:val="CommentSubjectChar"/>
    <w:uiPriority w:val="99"/>
    <w:semiHidden/>
    <w:unhideWhenUsed/>
    <w:rsid w:val="00954A57"/>
    <w:rPr>
      <w:b/>
      <w:bCs/>
    </w:rPr>
  </w:style>
  <w:style w:type="character" w:customStyle="1" w:styleId="CommentSubjectChar">
    <w:name w:val="Comment Subject Char"/>
    <w:basedOn w:val="CommentTextChar"/>
    <w:link w:val="CommentSubject"/>
    <w:uiPriority w:val="99"/>
    <w:semiHidden/>
    <w:rsid w:val="00954A57"/>
    <w:rPr>
      <w:b/>
      <w:bCs/>
      <w:sz w:val="20"/>
      <w:szCs w:val="20"/>
    </w:rPr>
  </w:style>
  <w:style w:type="paragraph" w:styleId="Header">
    <w:name w:val="header"/>
    <w:basedOn w:val="Normal"/>
    <w:link w:val="HeaderChar"/>
    <w:uiPriority w:val="99"/>
    <w:semiHidden/>
    <w:unhideWhenUsed/>
    <w:rsid w:val="00EE2E53"/>
    <w:pPr>
      <w:tabs>
        <w:tab w:val="center" w:pos="4252"/>
        <w:tab w:val="right" w:pos="8504"/>
      </w:tabs>
      <w:spacing w:before="0" w:after="0" w:line="240" w:lineRule="auto"/>
    </w:pPr>
  </w:style>
  <w:style w:type="character" w:customStyle="1" w:styleId="HeaderChar">
    <w:name w:val="Header Char"/>
    <w:basedOn w:val="DefaultParagraphFont"/>
    <w:link w:val="Header"/>
    <w:uiPriority w:val="99"/>
    <w:semiHidden/>
    <w:rsid w:val="00EE2E53"/>
  </w:style>
  <w:style w:type="paragraph" w:styleId="Footer">
    <w:name w:val="footer"/>
    <w:basedOn w:val="Normal"/>
    <w:link w:val="FooterChar"/>
    <w:uiPriority w:val="99"/>
    <w:semiHidden/>
    <w:unhideWhenUsed/>
    <w:rsid w:val="00EE2E53"/>
    <w:pPr>
      <w:tabs>
        <w:tab w:val="center" w:pos="4252"/>
        <w:tab w:val="right" w:pos="8504"/>
      </w:tabs>
      <w:spacing w:before="0" w:after="0" w:line="240" w:lineRule="auto"/>
    </w:pPr>
  </w:style>
  <w:style w:type="character" w:customStyle="1" w:styleId="FooterChar">
    <w:name w:val="Footer Char"/>
    <w:basedOn w:val="DefaultParagraphFont"/>
    <w:link w:val="Footer"/>
    <w:uiPriority w:val="99"/>
    <w:semiHidden/>
    <w:rsid w:val="00EE2E53"/>
  </w:style>
  <w:style w:type="table" w:customStyle="1" w:styleId="affffa">
    <w:basedOn w:val="TableNormal"/>
    <w:pPr>
      <w:spacing w:after="0" w:line="240" w:lineRule="auto"/>
    </w:pPr>
    <w:tblPr>
      <w:tblStyleRowBandSize w:val="1"/>
      <w:tblStyleColBandSize w:val="1"/>
      <w:tblCellMar>
        <w:left w:w="70" w:type="dxa"/>
        <w:right w:w="70"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pPr>
      <w:spacing w:after="0" w:line="240" w:lineRule="auto"/>
    </w:pPr>
    <w:tblPr>
      <w:tblStyleRowBandSize w:val="1"/>
      <w:tblStyleColBandSize w:val="1"/>
      <w:tblCellMar>
        <w:left w:w="70" w:type="dxa"/>
        <w:right w:w="70" w:type="dxa"/>
      </w:tblCellMar>
    </w:tblPr>
  </w:style>
  <w:style w:type="table" w:customStyle="1" w:styleId="affffd">
    <w:basedOn w:val="TableNormal"/>
    <w:tblPr>
      <w:tblStyleRowBandSize w:val="1"/>
      <w:tblStyleColBandSize w:val="1"/>
      <w:tblCellMar>
        <w:left w:w="70" w:type="dxa"/>
        <w:right w:w="70" w:type="dxa"/>
      </w:tblCellMar>
    </w:tblPr>
  </w:style>
  <w:style w:type="table" w:customStyle="1" w:styleId="affffe">
    <w:basedOn w:val="TableNormal"/>
    <w:pPr>
      <w:spacing w:after="0" w:line="240" w:lineRule="auto"/>
    </w:pPr>
    <w:tblPr>
      <w:tblStyleRowBandSize w:val="1"/>
      <w:tblStyleColBandSize w:val="1"/>
      <w:tblCellMar>
        <w:left w:w="70" w:type="dxa"/>
        <w:right w:w="70" w:type="dxa"/>
      </w:tblCellMar>
    </w:tblPr>
  </w:style>
  <w:style w:type="table" w:customStyle="1" w:styleId="afffff">
    <w:basedOn w:val="TableNormal"/>
    <w:pPr>
      <w:spacing w:after="0" w:line="240" w:lineRule="auto"/>
    </w:pPr>
    <w:tblPr>
      <w:tblStyleRowBandSize w:val="1"/>
      <w:tblStyleColBandSize w:val="1"/>
      <w:tblCellMar>
        <w:left w:w="70" w:type="dxa"/>
        <w:right w:w="70"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70" w:type="dxa"/>
        <w:right w:w="70" w:type="dxa"/>
      </w:tblCellMar>
    </w:tblPr>
  </w:style>
  <w:style w:type="table" w:customStyle="1" w:styleId="afffff2">
    <w:basedOn w:val="TableNormal"/>
    <w:pPr>
      <w:spacing w:after="0" w:line="240" w:lineRule="auto"/>
    </w:pPr>
    <w:tblPr>
      <w:tblStyleRowBandSize w:val="1"/>
      <w:tblStyleColBandSize w:val="1"/>
      <w:tblCellMar>
        <w:left w:w="70" w:type="dxa"/>
        <w:right w:w="70" w:type="dxa"/>
      </w:tblCellMar>
    </w:tblPr>
  </w:style>
  <w:style w:type="table" w:customStyle="1" w:styleId="afffff3">
    <w:basedOn w:val="TableNormal"/>
    <w:pPr>
      <w:spacing w:after="0" w:line="240" w:lineRule="auto"/>
    </w:pPr>
    <w:tblPr>
      <w:tblStyleRowBandSize w:val="1"/>
      <w:tblStyleColBandSize w:val="1"/>
      <w:tblCellMar>
        <w:left w:w="70" w:type="dxa"/>
        <w:right w:w="70" w:type="dxa"/>
      </w:tblCellMar>
    </w:tblPr>
  </w:style>
  <w:style w:type="table" w:customStyle="1" w:styleId="afffff4">
    <w:basedOn w:val="TableNormal"/>
    <w:pPr>
      <w:spacing w:after="0" w:line="240" w:lineRule="auto"/>
    </w:pPr>
    <w:tblPr>
      <w:tblStyleRowBandSize w:val="1"/>
      <w:tblStyleColBandSize w:val="1"/>
      <w:tblCellMar>
        <w:left w:w="70" w:type="dxa"/>
        <w:right w:w="70" w:type="dxa"/>
      </w:tblCellMar>
    </w:tblPr>
  </w:style>
  <w:style w:type="table" w:customStyle="1" w:styleId="afffff5">
    <w:basedOn w:val="TableNormal"/>
    <w:pPr>
      <w:spacing w:after="0" w:line="240" w:lineRule="auto"/>
    </w:pPr>
    <w:tblPr>
      <w:tblStyleRowBandSize w:val="1"/>
      <w:tblStyleColBandSize w:val="1"/>
      <w:tblCellMar>
        <w:left w:w="70" w:type="dxa"/>
        <w:right w:w="70" w:type="dxa"/>
      </w:tblCellMar>
    </w:tblPr>
  </w:style>
  <w:style w:type="table" w:customStyle="1" w:styleId="afffff6">
    <w:basedOn w:val="TableNormal"/>
    <w:pPr>
      <w:spacing w:after="0" w:line="240" w:lineRule="auto"/>
    </w:pPr>
    <w:tblPr>
      <w:tblStyleRowBandSize w:val="1"/>
      <w:tblStyleColBandSize w:val="1"/>
      <w:tblCellMar>
        <w:left w:w="70" w:type="dxa"/>
        <w:right w:w="70" w:type="dxa"/>
      </w:tblCellMar>
    </w:tblPr>
  </w:style>
  <w:style w:type="table" w:customStyle="1" w:styleId="afffff7">
    <w:basedOn w:val="TableNormal"/>
    <w:pPr>
      <w:spacing w:after="0" w:line="240" w:lineRule="auto"/>
    </w:pPr>
    <w:tblPr>
      <w:tblStyleRowBandSize w:val="1"/>
      <w:tblStyleColBandSize w:val="1"/>
      <w:tblCellMar>
        <w:left w:w="70" w:type="dxa"/>
        <w:right w:w="70" w:type="dxa"/>
      </w:tblCellMar>
    </w:tblPr>
  </w:style>
  <w:style w:type="table" w:customStyle="1" w:styleId="afffff8">
    <w:basedOn w:val="TableNormal"/>
    <w:pPr>
      <w:spacing w:after="0" w:line="240" w:lineRule="auto"/>
    </w:pPr>
    <w:tblPr>
      <w:tblStyleRowBandSize w:val="1"/>
      <w:tblStyleColBandSize w:val="1"/>
      <w:tblCellMar>
        <w:left w:w="70" w:type="dxa"/>
        <w:right w:w="70" w:type="dxa"/>
      </w:tblCellMar>
    </w:tblPr>
  </w:style>
  <w:style w:type="table" w:customStyle="1" w:styleId="afffff9">
    <w:basedOn w:val="TableNormal"/>
    <w:pPr>
      <w:spacing w:after="0" w:line="240" w:lineRule="auto"/>
    </w:pPr>
    <w:tblPr>
      <w:tblStyleRowBandSize w:val="1"/>
      <w:tblStyleColBandSize w:val="1"/>
      <w:tblCellMar>
        <w:left w:w="70" w:type="dxa"/>
        <w:right w:w="70" w:type="dxa"/>
      </w:tblCellMar>
    </w:tblPr>
  </w:style>
  <w:style w:type="table" w:customStyle="1" w:styleId="afffffa">
    <w:basedOn w:val="TableNormal"/>
    <w:pPr>
      <w:spacing w:after="0" w:line="240" w:lineRule="auto"/>
    </w:pPr>
    <w:tblPr>
      <w:tblStyleRowBandSize w:val="1"/>
      <w:tblStyleColBandSize w:val="1"/>
      <w:tblCellMar>
        <w:left w:w="70" w:type="dxa"/>
        <w:right w:w="70" w:type="dxa"/>
      </w:tblCellMar>
    </w:tblPr>
  </w:style>
  <w:style w:type="table" w:customStyle="1" w:styleId="afffffb">
    <w:basedOn w:val="TableNormal"/>
    <w:pPr>
      <w:spacing w:after="0" w:line="240" w:lineRule="auto"/>
    </w:pPr>
    <w:tblPr>
      <w:tblStyleRowBandSize w:val="1"/>
      <w:tblStyleColBandSize w:val="1"/>
      <w:tblCellMar>
        <w:left w:w="70" w:type="dxa"/>
        <w:right w:w="70" w:type="dxa"/>
      </w:tblCellMar>
    </w:tblPr>
  </w:style>
  <w:style w:type="table" w:customStyle="1" w:styleId="afffffc">
    <w:basedOn w:val="TableNormal"/>
    <w:pPr>
      <w:spacing w:after="0" w:line="240" w:lineRule="auto"/>
    </w:pPr>
    <w:tblPr>
      <w:tblStyleRowBandSize w:val="1"/>
      <w:tblStyleColBandSize w:val="1"/>
      <w:tblCellMar>
        <w:left w:w="70" w:type="dxa"/>
        <w:right w:w="70" w:type="dxa"/>
      </w:tblCellMar>
    </w:tblPr>
  </w:style>
  <w:style w:type="table" w:customStyle="1" w:styleId="afffffd">
    <w:basedOn w:val="TableNormal"/>
    <w:pPr>
      <w:spacing w:after="0" w:line="240" w:lineRule="auto"/>
    </w:pPr>
    <w:tblPr>
      <w:tblStyleRowBandSize w:val="1"/>
      <w:tblStyleColBandSize w:val="1"/>
      <w:tblCellMar>
        <w:left w:w="70" w:type="dxa"/>
        <w:right w:w="70" w:type="dxa"/>
      </w:tblCellMar>
    </w:tblPr>
  </w:style>
  <w:style w:type="table" w:customStyle="1" w:styleId="afffffe">
    <w:basedOn w:val="TableNormal"/>
    <w:pPr>
      <w:spacing w:after="0" w:line="240" w:lineRule="auto"/>
    </w:pPr>
    <w:tblPr>
      <w:tblStyleRowBandSize w:val="1"/>
      <w:tblStyleColBandSize w:val="1"/>
      <w:tblCellMar>
        <w:left w:w="70" w:type="dxa"/>
        <w:right w:w="70" w:type="dxa"/>
      </w:tblCellMar>
    </w:tblPr>
  </w:style>
  <w:style w:type="table" w:customStyle="1" w:styleId="affffff">
    <w:basedOn w:val="TableNormal"/>
    <w:pPr>
      <w:spacing w:after="0" w:line="240" w:lineRule="auto"/>
    </w:pPr>
    <w:tblPr>
      <w:tblStyleRowBandSize w:val="1"/>
      <w:tblStyleColBandSize w:val="1"/>
      <w:tblCellMar>
        <w:left w:w="70" w:type="dxa"/>
        <w:right w:w="7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after="0" w:line="240" w:lineRule="auto"/>
    </w:pPr>
    <w:tblPr>
      <w:tblStyleRowBandSize w:val="1"/>
      <w:tblStyleColBandSize w:val="1"/>
      <w:tblCellMar>
        <w:left w:w="70" w:type="dxa"/>
        <w:right w:w="70" w:type="dxa"/>
      </w:tblCellMar>
    </w:tblPr>
  </w:style>
  <w:style w:type="table" w:customStyle="1" w:styleId="affffff2">
    <w:basedOn w:val="TableNormal"/>
    <w:pPr>
      <w:spacing w:after="0" w:line="240" w:lineRule="auto"/>
    </w:pPr>
    <w:tblPr>
      <w:tblStyleRowBandSize w:val="1"/>
      <w:tblStyleColBandSize w:val="1"/>
      <w:tblCellMar>
        <w:left w:w="70" w:type="dxa"/>
        <w:right w:w="70" w:type="dxa"/>
      </w:tblCellMar>
    </w:tblPr>
  </w:style>
  <w:style w:type="table" w:customStyle="1" w:styleId="affffff3">
    <w:basedOn w:val="TableNormal"/>
    <w:pPr>
      <w:spacing w:after="0" w:line="240" w:lineRule="auto"/>
    </w:pPr>
    <w:tblPr>
      <w:tblStyleRowBandSize w:val="1"/>
      <w:tblStyleColBandSize w:val="1"/>
      <w:tblCellMar>
        <w:left w:w="70" w:type="dxa"/>
        <w:right w:w="70" w:type="dxa"/>
      </w:tblCellMar>
    </w:tblPr>
  </w:style>
  <w:style w:type="table" w:customStyle="1" w:styleId="affffff4">
    <w:basedOn w:val="TableNormal"/>
    <w:pPr>
      <w:spacing w:after="0" w:line="240" w:lineRule="auto"/>
    </w:pPr>
    <w:tblPr>
      <w:tblStyleRowBandSize w:val="1"/>
      <w:tblStyleColBandSize w:val="1"/>
      <w:tblCellMar>
        <w:left w:w="70" w:type="dxa"/>
        <w:right w:w="70" w:type="dxa"/>
      </w:tblCellMar>
    </w:tblPr>
  </w:style>
  <w:style w:type="table" w:customStyle="1" w:styleId="affffff5">
    <w:basedOn w:val="TableNormal"/>
    <w:pPr>
      <w:spacing w:after="0" w:line="240" w:lineRule="auto"/>
    </w:pPr>
    <w:tblPr>
      <w:tblStyleRowBandSize w:val="1"/>
      <w:tblStyleColBandSize w:val="1"/>
      <w:tblCellMar>
        <w:left w:w="70" w:type="dxa"/>
        <w:right w:w="70" w:type="dxa"/>
      </w:tblCellMar>
    </w:tblPr>
  </w:style>
  <w:style w:type="table" w:customStyle="1" w:styleId="affffff6">
    <w:basedOn w:val="TableNormal"/>
    <w:pPr>
      <w:spacing w:after="0" w:line="240" w:lineRule="auto"/>
    </w:pPr>
    <w:tblPr>
      <w:tblStyleRowBandSize w:val="1"/>
      <w:tblStyleColBandSize w:val="1"/>
      <w:tblCellMar>
        <w:left w:w="70" w:type="dxa"/>
        <w:right w:w="70"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pPr>
      <w:spacing w:after="0" w:line="240" w:lineRule="auto"/>
    </w:pPr>
    <w:tblPr>
      <w:tblStyleRowBandSize w:val="1"/>
      <w:tblStyleColBandSize w:val="1"/>
      <w:tblCellMar>
        <w:left w:w="70" w:type="dxa"/>
        <w:right w:w="70" w:type="dxa"/>
      </w:tblCellMar>
    </w:tblPr>
  </w:style>
  <w:style w:type="table" w:customStyle="1" w:styleId="affffff9">
    <w:basedOn w:val="TableNormal"/>
    <w:pPr>
      <w:spacing w:after="0" w:line="240" w:lineRule="auto"/>
    </w:pPr>
    <w:tblPr>
      <w:tblStyleRowBandSize w:val="1"/>
      <w:tblStyleColBandSize w:val="1"/>
      <w:tblCellMar>
        <w:left w:w="70" w:type="dxa"/>
        <w:right w:w="70" w:type="dxa"/>
      </w:tblCellMar>
    </w:tblPr>
  </w:style>
  <w:style w:type="table" w:customStyle="1" w:styleId="affffffa">
    <w:basedOn w:val="TableNormal"/>
    <w:pPr>
      <w:spacing w:after="0" w:line="240" w:lineRule="auto"/>
    </w:pPr>
    <w:tblPr>
      <w:tblStyleRowBandSize w:val="1"/>
      <w:tblStyleColBandSize w:val="1"/>
      <w:tblCellMar>
        <w:left w:w="70" w:type="dxa"/>
        <w:right w:w="70" w:type="dxa"/>
      </w:tblCellMar>
    </w:tblPr>
  </w:style>
  <w:style w:type="table" w:customStyle="1" w:styleId="affffffb">
    <w:basedOn w:val="TableNormal"/>
    <w:pPr>
      <w:spacing w:after="0" w:line="240" w:lineRule="auto"/>
    </w:pPr>
    <w:tblPr>
      <w:tblStyleRowBandSize w:val="1"/>
      <w:tblStyleColBandSize w:val="1"/>
      <w:tblCellMar>
        <w:left w:w="70" w:type="dxa"/>
        <w:right w:w="70" w:type="dxa"/>
      </w:tblCellMar>
    </w:tblPr>
  </w:style>
  <w:style w:type="table" w:customStyle="1" w:styleId="affffffc">
    <w:basedOn w:val="TableNormal"/>
    <w:pPr>
      <w:spacing w:after="0" w:line="240" w:lineRule="auto"/>
    </w:pPr>
    <w:tblPr>
      <w:tblStyleRowBandSize w:val="1"/>
      <w:tblStyleColBandSize w:val="1"/>
      <w:tblCellMar>
        <w:left w:w="70" w:type="dxa"/>
        <w:right w:w="70" w:type="dxa"/>
      </w:tblCellMar>
    </w:tblPr>
  </w:style>
  <w:style w:type="table" w:customStyle="1" w:styleId="affffffd">
    <w:basedOn w:val="TableNormal"/>
    <w:pPr>
      <w:spacing w:after="0" w:line="240" w:lineRule="auto"/>
    </w:pPr>
    <w:tblPr>
      <w:tblStyleRowBandSize w:val="1"/>
      <w:tblStyleColBandSize w:val="1"/>
      <w:tblCellMar>
        <w:left w:w="70" w:type="dxa"/>
        <w:right w:w="70" w:type="dxa"/>
      </w:tblCellMar>
    </w:tblPr>
  </w:style>
  <w:style w:type="table" w:customStyle="1" w:styleId="affffffe">
    <w:basedOn w:val="TableNormal"/>
    <w:pPr>
      <w:spacing w:after="0" w:line="240" w:lineRule="auto"/>
    </w:pPr>
    <w:tblPr>
      <w:tblStyleRowBandSize w:val="1"/>
      <w:tblStyleColBandSize w:val="1"/>
      <w:tblCellMar>
        <w:left w:w="70" w:type="dxa"/>
        <w:right w:w="70" w:type="dxa"/>
      </w:tblCellMar>
    </w:tblPr>
  </w:style>
  <w:style w:type="table" w:customStyle="1" w:styleId="afffffff">
    <w:basedOn w:val="TableNormal"/>
    <w:pPr>
      <w:spacing w:after="0" w:line="240" w:lineRule="auto"/>
    </w:pPr>
    <w:tblPr>
      <w:tblStyleRowBandSize w:val="1"/>
      <w:tblStyleColBandSize w:val="1"/>
      <w:tblCellMar>
        <w:left w:w="70" w:type="dxa"/>
        <w:right w:w="70" w:type="dxa"/>
      </w:tblCellMar>
    </w:tblPr>
  </w:style>
  <w:style w:type="table" w:customStyle="1" w:styleId="afffffff0">
    <w:basedOn w:val="TableNormal"/>
    <w:pPr>
      <w:spacing w:after="0" w:line="240" w:lineRule="auto"/>
    </w:pPr>
    <w:tblPr>
      <w:tblStyleRowBandSize w:val="1"/>
      <w:tblStyleColBandSize w:val="1"/>
      <w:tblCellMar>
        <w:left w:w="70" w:type="dxa"/>
        <w:right w:w="70" w:type="dxa"/>
      </w:tblCellMar>
    </w:tblPr>
  </w:style>
  <w:style w:type="table" w:customStyle="1" w:styleId="afffffff1">
    <w:basedOn w:val="TableNormal"/>
    <w:pPr>
      <w:spacing w:after="0" w:line="240" w:lineRule="auto"/>
    </w:pPr>
    <w:tblPr>
      <w:tblStyleRowBandSize w:val="1"/>
      <w:tblStyleColBandSize w:val="1"/>
      <w:tblCellMar>
        <w:left w:w="70" w:type="dxa"/>
        <w:right w:w="70" w:type="dxa"/>
      </w:tblCellMar>
    </w:tblPr>
  </w:style>
  <w:style w:type="table" w:customStyle="1" w:styleId="afffffff2">
    <w:basedOn w:val="TableNormal"/>
    <w:pPr>
      <w:spacing w:after="0" w:line="240" w:lineRule="auto"/>
    </w:pPr>
    <w:tblPr>
      <w:tblStyleRowBandSize w:val="1"/>
      <w:tblStyleColBandSize w:val="1"/>
      <w:tblCellMar>
        <w:left w:w="70" w:type="dxa"/>
        <w:right w:w="70" w:type="dxa"/>
      </w:tblCellMar>
    </w:tblPr>
  </w:style>
  <w:style w:type="table" w:customStyle="1" w:styleId="afffffff3">
    <w:basedOn w:val="TableNormal"/>
    <w:pPr>
      <w:spacing w:after="0" w:line="240" w:lineRule="auto"/>
    </w:pPr>
    <w:tblPr>
      <w:tblStyleRowBandSize w:val="1"/>
      <w:tblStyleColBandSize w:val="1"/>
      <w:tblCellMar>
        <w:left w:w="70" w:type="dxa"/>
        <w:right w:w="70" w:type="dxa"/>
      </w:tblCellMar>
    </w:tblPr>
  </w:style>
  <w:style w:type="table" w:customStyle="1" w:styleId="afffffff4">
    <w:basedOn w:val="TableNormal"/>
    <w:pPr>
      <w:spacing w:after="0" w:line="240" w:lineRule="auto"/>
    </w:pPr>
    <w:tblPr>
      <w:tblStyleRowBandSize w:val="1"/>
      <w:tblStyleColBandSize w:val="1"/>
      <w:tblCellMar>
        <w:left w:w="70" w:type="dxa"/>
        <w:right w:w="70" w:type="dxa"/>
      </w:tblCellMar>
    </w:tblPr>
  </w:style>
  <w:style w:type="table" w:customStyle="1" w:styleId="afffffff5">
    <w:basedOn w:val="TableNormal"/>
    <w:pPr>
      <w:spacing w:after="0" w:line="240" w:lineRule="auto"/>
    </w:pPr>
    <w:tblPr>
      <w:tblStyleRowBandSize w:val="1"/>
      <w:tblStyleColBandSize w:val="1"/>
      <w:tblCellMar>
        <w:left w:w="70" w:type="dxa"/>
        <w:right w:w="70" w:type="dxa"/>
      </w:tblCellMar>
    </w:tblPr>
  </w:style>
  <w:style w:type="table" w:customStyle="1" w:styleId="afffffff6">
    <w:basedOn w:val="TableNormal"/>
    <w:pPr>
      <w:spacing w:after="0" w:line="240" w:lineRule="auto"/>
    </w:pPr>
    <w:tblPr>
      <w:tblStyleRowBandSize w:val="1"/>
      <w:tblStyleColBandSize w:val="1"/>
      <w:tblCellMar>
        <w:left w:w="70" w:type="dxa"/>
        <w:right w:w="70" w:type="dxa"/>
      </w:tblCellMar>
    </w:tblPr>
  </w:style>
  <w:style w:type="table" w:customStyle="1" w:styleId="afffffff7">
    <w:basedOn w:val="TableNormal"/>
    <w:pPr>
      <w:spacing w:after="0" w:line="240" w:lineRule="auto"/>
    </w:pPr>
    <w:tblPr>
      <w:tblStyleRowBandSize w:val="1"/>
      <w:tblStyleColBandSize w:val="1"/>
      <w:tblCellMar>
        <w:left w:w="70" w:type="dxa"/>
        <w:right w:w="70" w:type="dxa"/>
      </w:tblCellMar>
    </w:tblPr>
  </w:style>
  <w:style w:type="table" w:customStyle="1" w:styleId="afffffff8">
    <w:basedOn w:val="TableNormal"/>
    <w:pPr>
      <w:spacing w:after="0" w:line="240" w:lineRule="auto"/>
    </w:pPr>
    <w:tblPr>
      <w:tblStyleRowBandSize w:val="1"/>
      <w:tblStyleColBandSize w:val="1"/>
      <w:tblCellMar>
        <w:left w:w="70" w:type="dxa"/>
        <w:right w:w="70" w:type="dxa"/>
      </w:tblCellMar>
    </w:tblPr>
  </w:style>
  <w:style w:type="table" w:customStyle="1" w:styleId="afffffff9">
    <w:basedOn w:val="TableNormal"/>
    <w:pPr>
      <w:spacing w:after="0" w:line="240" w:lineRule="auto"/>
    </w:pPr>
    <w:tblPr>
      <w:tblStyleRowBandSize w:val="1"/>
      <w:tblStyleColBandSize w:val="1"/>
      <w:tblCellMar>
        <w:left w:w="70" w:type="dxa"/>
        <w:right w:w="70" w:type="dxa"/>
      </w:tblCellMar>
    </w:tblPr>
  </w:style>
  <w:style w:type="table" w:customStyle="1" w:styleId="afffffffa">
    <w:basedOn w:val="TableNormal"/>
    <w:pPr>
      <w:spacing w:after="0" w:line="240" w:lineRule="auto"/>
    </w:pPr>
    <w:tblPr>
      <w:tblStyleRowBandSize w:val="1"/>
      <w:tblStyleColBandSize w:val="1"/>
      <w:tblCellMar>
        <w:left w:w="70" w:type="dxa"/>
        <w:right w:w="70" w:type="dxa"/>
      </w:tblCellMar>
    </w:tblPr>
  </w:style>
  <w:style w:type="table" w:customStyle="1" w:styleId="afffffffb">
    <w:basedOn w:val="TableNormal"/>
    <w:pPr>
      <w:spacing w:after="0" w:line="240" w:lineRule="auto"/>
    </w:pPr>
    <w:tblPr>
      <w:tblStyleRowBandSize w:val="1"/>
      <w:tblStyleColBandSize w:val="1"/>
      <w:tblCellMar>
        <w:left w:w="70" w:type="dxa"/>
        <w:right w:w="70" w:type="dxa"/>
      </w:tblCellMar>
    </w:tblPr>
  </w:style>
  <w:style w:type="table" w:customStyle="1" w:styleId="afffffffc">
    <w:basedOn w:val="TableNormal"/>
    <w:pPr>
      <w:spacing w:after="0" w:line="240" w:lineRule="auto"/>
    </w:pPr>
    <w:tblPr>
      <w:tblStyleRowBandSize w:val="1"/>
      <w:tblStyleColBandSize w:val="1"/>
      <w:tblCellMar>
        <w:left w:w="70" w:type="dxa"/>
        <w:right w:w="70" w:type="dxa"/>
      </w:tblCellMar>
    </w:tblPr>
  </w:style>
  <w:style w:type="table" w:customStyle="1" w:styleId="afffffffd">
    <w:basedOn w:val="TableNormal"/>
    <w:pPr>
      <w:spacing w:after="0" w:line="240" w:lineRule="auto"/>
    </w:pPr>
    <w:tblPr>
      <w:tblStyleRowBandSize w:val="1"/>
      <w:tblStyleColBandSize w:val="1"/>
      <w:tblCellMar>
        <w:left w:w="70" w:type="dxa"/>
        <w:right w:w="70" w:type="dxa"/>
      </w:tblCellMar>
    </w:tblPr>
  </w:style>
  <w:style w:type="table" w:customStyle="1" w:styleId="afffffffe">
    <w:basedOn w:val="TableNormal"/>
    <w:pPr>
      <w:spacing w:after="0" w:line="240" w:lineRule="auto"/>
    </w:pPr>
    <w:tblPr>
      <w:tblStyleRowBandSize w:val="1"/>
      <w:tblStyleColBandSize w:val="1"/>
      <w:tblCellMar>
        <w:left w:w="70" w:type="dxa"/>
        <w:right w:w="70" w:type="dxa"/>
      </w:tblCellMar>
    </w:tblPr>
  </w:style>
  <w:style w:type="table" w:customStyle="1" w:styleId="affffffff">
    <w:basedOn w:val="TableNormal"/>
    <w:pPr>
      <w:spacing w:after="0" w:line="240" w:lineRule="auto"/>
    </w:pPr>
    <w:tblPr>
      <w:tblStyleRowBandSize w:val="1"/>
      <w:tblStyleColBandSize w:val="1"/>
      <w:tblCellMar>
        <w:left w:w="70" w:type="dxa"/>
        <w:right w:w="70" w:type="dxa"/>
      </w:tblCellMar>
    </w:tblPr>
  </w:style>
  <w:style w:type="table" w:customStyle="1" w:styleId="affffffff0">
    <w:basedOn w:val="TableNormal"/>
    <w:pPr>
      <w:spacing w:after="0" w:line="240" w:lineRule="auto"/>
    </w:pPr>
    <w:tblPr>
      <w:tblStyleRowBandSize w:val="1"/>
      <w:tblStyleColBandSize w:val="1"/>
      <w:tblCellMar>
        <w:left w:w="70" w:type="dxa"/>
        <w:right w:w="70" w:type="dxa"/>
      </w:tblCellMar>
    </w:tblPr>
  </w:style>
  <w:style w:type="table" w:customStyle="1" w:styleId="affffffff1">
    <w:basedOn w:val="TableNormal"/>
    <w:pPr>
      <w:spacing w:after="0" w:line="240" w:lineRule="auto"/>
    </w:pPr>
    <w:tblPr>
      <w:tblStyleRowBandSize w:val="1"/>
      <w:tblStyleColBandSize w:val="1"/>
      <w:tblCellMar>
        <w:left w:w="70" w:type="dxa"/>
        <w:right w:w="70" w:type="dxa"/>
      </w:tblCellMar>
    </w:tblPr>
  </w:style>
  <w:style w:type="table" w:customStyle="1" w:styleId="affffffff2">
    <w:basedOn w:val="TableNormal"/>
    <w:pPr>
      <w:spacing w:after="0" w:line="240" w:lineRule="auto"/>
    </w:pPr>
    <w:tblPr>
      <w:tblStyleRowBandSize w:val="1"/>
      <w:tblStyleColBandSize w:val="1"/>
      <w:tblCellMar>
        <w:left w:w="70" w:type="dxa"/>
        <w:right w:w="70" w:type="dxa"/>
      </w:tblCellMar>
    </w:tblPr>
  </w:style>
  <w:style w:type="table" w:customStyle="1" w:styleId="affffffff3">
    <w:basedOn w:val="TableNormal"/>
    <w:pPr>
      <w:spacing w:after="0" w:line="240" w:lineRule="auto"/>
    </w:pPr>
    <w:tblPr>
      <w:tblStyleRowBandSize w:val="1"/>
      <w:tblStyleColBandSize w:val="1"/>
      <w:tblCellMar>
        <w:left w:w="70" w:type="dxa"/>
        <w:right w:w="70" w:type="dxa"/>
      </w:tblCellMar>
    </w:tblPr>
  </w:style>
  <w:style w:type="table" w:customStyle="1" w:styleId="affffffff4">
    <w:basedOn w:val="TableNormal"/>
    <w:pPr>
      <w:spacing w:after="0" w:line="240" w:lineRule="auto"/>
    </w:pPr>
    <w:tblPr>
      <w:tblStyleRowBandSize w:val="1"/>
      <w:tblStyleColBandSize w:val="1"/>
      <w:tblCellMar>
        <w:left w:w="70" w:type="dxa"/>
        <w:right w:w="70" w:type="dxa"/>
      </w:tblCellMar>
    </w:tblPr>
  </w:style>
  <w:style w:type="table" w:customStyle="1" w:styleId="affffffff5">
    <w:basedOn w:val="TableNormal"/>
    <w:pPr>
      <w:spacing w:after="0" w:line="240" w:lineRule="auto"/>
    </w:pPr>
    <w:tblPr>
      <w:tblStyleRowBandSize w:val="1"/>
      <w:tblStyleColBandSize w:val="1"/>
      <w:tblCellMar>
        <w:left w:w="70" w:type="dxa"/>
        <w:right w:w="70" w:type="dxa"/>
      </w:tblCellMar>
    </w:tblPr>
  </w:style>
  <w:style w:type="table" w:customStyle="1" w:styleId="affffffff6">
    <w:basedOn w:val="TableNormal"/>
    <w:pPr>
      <w:spacing w:after="0" w:line="240" w:lineRule="auto"/>
    </w:pPr>
    <w:tblPr>
      <w:tblStyleRowBandSize w:val="1"/>
      <w:tblStyleColBandSize w:val="1"/>
      <w:tblCellMar>
        <w:left w:w="70" w:type="dxa"/>
        <w:right w:w="70" w:type="dxa"/>
      </w:tblCellMar>
    </w:tblPr>
  </w:style>
  <w:style w:type="table" w:customStyle="1" w:styleId="affffffff7">
    <w:basedOn w:val="TableNormal"/>
    <w:pPr>
      <w:spacing w:after="0" w:line="240" w:lineRule="auto"/>
    </w:pPr>
    <w:tblPr>
      <w:tblStyleRowBandSize w:val="1"/>
      <w:tblStyleColBandSize w:val="1"/>
      <w:tblCellMar>
        <w:left w:w="70" w:type="dxa"/>
        <w:right w:w="70" w:type="dxa"/>
      </w:tblCellMar>
    </w:tblPr>
  </w:style>
  <w:style w:type="table" w:customStyle="1" w:styleId="affffffff8">
    <w:basedOn w:val="TableNormal"/>
    <w:pPr>
      <w:spacing w:after="0" w:line="240" w:lineRule="auto"/>
    </w:pPr>
    <w:tblPr>
      <w:tblStyleRowBandSize w:val="1"/>
      <w:tblStyleColBandSize w:val="1"/>
      <w:tblCellMar>
        <w:left w:w="70" w:type="dxa"/>
        <w:right w:w="70" w:type="dxa"/>
      </w:tblCellMar>
    </w:tblPr>
  </w:style>
  <w:style w:type="table" w:customStyle="1" w:styleId="affffffff9">
    <w:basedOn w:val="TableNormal"/>
    <w:pPr>
      <w:spacing w:after="0" w:line="240" w:lineRule="auto"/>
    </w:pPr>
    <w:tblPr>
      <w:tblStyleRowBandSize w:val="1"/>
      <w:tblStyleColBandSize w:val="1"/>
      <w:tblCellMar>
        <w:left w:w="70" w:type="dxa"/>
        <w:right w:w="70" w:type="dxa"/>
      </w:tblCellMar>
    </w:tblPr>
  </w:style>
  <w:style w:type="table" w:customStyle="1" w:styleId="affffffffa">
    <w:basedOn w:val="TableNormal"/>
    <w:pPr>
      <w:spacing w:after="0" w:line="240" w:lineRule="auto"/>
    </w:pPr>
    <w:tblPr>
      <w:tblStyleRowBandSize w:val="1"/>
      <w:tblStyleColBandSize w:val="1"/>
      <w:tblCellMar>
        <w:left w:w="70" w:type="dxa"/>
        <w:right w:w="70" w:type="dxa"/>
      </w:tblCellMar>
    </w:tblPr>
  </w:style>
  <w:style w:type="table" w:customStyle="1" w:styleId="affffffffb">
    <w:basedOn w:val="TableNormal"/>
    <w:pPr>
      <w:spacing w:after="0" w:line="240" w:lineRule="auto"/>
    </w:pPr>
    <w:tblPr>
      <w:tblStyleRowBandSize w:val="1"/>
      <w:tblStyleColBandSize w:val="1"/>
      <w:tblCellMar>
        <w:left w:w="70" w:type="dxa"/>
        <w:right w:w="70" w:type="dxa"/>
      </w:tblCellMar>
    </w:tblPr>
  </w:style>
  <w:style w:type="table" w:customStyle="1" w:styleId="affffffffc">
    <w:basedOn w:val="TableNormal"/>
    <w:pPr>
      <w:spacing w:after="0" w:line="240" w:lineRule="auto"/>
    </w:pPr>
    <w:tblPr>
      <w:tblStyleRowBandSize w:val="1"/>
      <w:tblStyleColBandSize w:val="1"/>
      <w:tblCellMar>
        <w:left w:w="70" w:type="dxa"/>
        <w:right w:w="70" w:type="dxa"/>
      </w:tblCellMar>
    </w:tblPr>
  </w:style>
  <w:style w:type="table" w:customStyle="1" w:styleId="affffffffd">
    <w:basedOn w:val="TableNormal"/>
    <w:pPr>
      <w:spacing w:after="0" w:line="240" w:lineRule="auto"/>
    </w:pPr>
    <w:tblPr>
      <w:tblStyleRowBandSize w:val="1"/>
      <w:tblStyleColBandSize w:val="1"/>
      <w:tblCellMar>
        <w:left w:w="70" w:type="dxa"/>
        <w:right w:w="70" w:type="dxa"/>
      </w:tblCellMar>
    </w:tblPr>
  </w:style>
  <w:style w:type="table" w:customStyle="1" w:styleId="affffffffe">
    <w:basedOn w:val="TableNormal"/>
    <w:pPr>
      <w:spacing w:after="0" w:line="240" w:lineRule="auto"/>
    </w:pPr>
    <w:tblPr>
      <w:tblStyleRowBandSize w:val="1"/>
      <w:tblStyleColBandSize w:val="1"/>
      <w:tblCellMar>
        <w:left w:w="70" w:type="dxa"/>
        <w:right w:w="70" w:type="dxa"/>
      </w:tblCellMar>
    </w:tblPr>
  </w:style>
  <w:style w:type="table" w:customStyle="1" w:styleId="afffffffff">
    <w:basedOn w:val="TableNormal"/>
    <w:pPr>
      <w:spacing w:after="0" w:line="240" w:lineRule="auto"/>
    </w:pPr>
    <w:tblPr>
      <w:tblStyleRowBandSize w:val="1"/>
      <w:tblStyleColBandSize w:val="1"/>
      <w:tblCellMar>
        <w:left w:w="70" w:type="dxa"/>
        <w:right w:w="70" w:type="dxa"/>
      </w:tblCellMar>
    </w:tblPr>
  </w:style>
  <w:style w:type="table" w:customStyle="1" w:styleId="afffffffff0">
    <w:basedOn w:val="TableNormal"/>
    <w:pPr>
      <w:spacing w:after="0" w:line="240" w:lineRule="auto"/>
    </w:pPr>
    <w:tblPr>
      <w:tblStyleRowBandSize w:val="1"/>
      <w:tblStyleColBandSize w:val="1"/>
      <w:tblCellMar>
        <w:left w:w="70" w:type="dxa"/>
        <w:right w:w="70" w:type="dxa"/>
      </w:tblCellMar>
    </w:tblPr>
  </w:style>
  <w:style w:type="table" w:customStyle="1" w:styleId="afffffffff1">
    <w:basedOn w:val="TableNormal"/>
    <w:pPr>
      <w:spacing w:after="0" w:line="240" w:lineRule="auto"/>
    </w:pPr>
    <w:tblPr>
      <w:tblStyleRowBandSize w:val="1"/>
      <w:tblStyleColBandSize w:val="1"/>
      <w:tblCellMar>
        <w:left w:w="70" w:type="dxa"/>
        <w:right w:w="70" w:type="dxa"/>
      </w:tblCellMar>
    </w:tblPr>
  </w:style>
  <w:style w:type="table" w:customStyle="1" w:styleId="afffffffff2">
    <w:basedOn w:val="TableNormal"/>
    <w:pPr>
      <w:spacing w:after="0" w:line="240" w:lineRule="auto"/>
    </w:pPr>
    <w:tblPr>
      <w:tblStyleRowBandSize w:val="1"/>
      <w:tblStyleColBandSize w:val="1"/>
      <w:tblCellMar>
        <w:left w:w="70" w:type="dxa"/>
        <w:right w:w="70" w:type="dxa"/>
      </w:tblCellMar>
    </w:tblPr>
  </w:style>
  <w:style w:type="table" w:customStyle="1" w:styleId="afffffffff3">
    <w:basedOn w:val="TableNormal"/>
    <w:pPr>
      <w:spacing w:after="0" w:line="240" w:lineRule="auto"/>
    </w:pPr>
    <w:tblPr>
      <w:tblStyleRowBandSize w:val="1"/>
      <w:tblStyleColBandSize w:val="1"/>
      <w:tblCellMar>
        <w:left w:w="70" w:type="dxa"/>
        <w:right w:w="70" w:type="dxa"/>
      </w:tblCellMar>
    </w:tblPr>
  </w:style>
  <w:style w:type="table" w:customStyle="1" w:styleId="afffffffff4">
    <w:basedOn w:val="TableNormal"/>
    <w:pPr>
      <w:spacing w:after="0" w:line="240" w:lineRule="auto"/>
    </w:pPr>
    <w:tblPr>
      <w:tblStyleRowBandSize w:val="1"/>
      <w:tblStyleColBandSize w:val="1"/>
      <w:tblCellMar>
        <w:left w:w="70" w:type="dxa"/>
        <w:right w:w="70" w:type="dxa"/>
      </w:tblCellMar>
    </w:tblPr>
  </w:style>
  <w:style w:type="table" w:customStyle="1" w:styleId="afffffffff5">
    <w:basedOn w:val="TableNormal"/>
    <w:pPr>
      <w:spacing w:after="0" w:line="240" w:lineRule="auto"/>
    </w:pPr>
    <w:tblPr>
      <w:tblStyleRowBandSize w:val="1"/>
      <w:tblStyleColBandSize w:val="1"/>
      <w:tblCellMar>
        <w:left w:w="70" w:type="dxa"/>
        <w:right w:w="70" w:type="dxa"/>
      </w:tblCellMar>
    </w:tblPr>
  </w:style>
  <w:style w:type="character" w:styleId="Mention">
    <w:name w:val="Mention"/>
    <w:basedOn w:val="DefaultParagraphFont"/>
    <w:uiPriority w:val="99"/>
    <w:unhideWhenUsed/>
    <w:rsid w:val="007E2838"/>
    <w:rPr>
      <w:color w:val="2B579A"/>
      <w:shd w:val="clear" w:color="auto" w:fill="E1DFDD"/>
    </w:rPr>
  </w:style>
  <w:style w:type="table" w:customStyle="1" w:styleId="TableNormal1">
    <w:name w:val="Table Normal1"/>
    <w:rsid w:val="00812AAC"/>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8853830">
      <w:bodyDiv w:val="1"/>
      <w:marLeft w:val="0"/>
      <w:marRight w:val="0"/>
      <w:marTop w:val="0"/>
      <w:marBottom w:val="0"/>
      <w:divBdr>
        <w:top w:val="none" w:sz="0" w:space="0" w:color="auto"/>
        <w:left w:val="none" w:sz="0" w:space="0" w:color="auto"/>
        <w:bottom w:val="none" w:sz="0" w:space="0" w:color="auto"/>
        <w:right w:val="none" w:sz="0" w:space="0" w:color="auto"/>
      </w:divBdr>
      <w:divsChild>
        <w:div w:id="334962865">
          <w:marLeft w:val="80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hyperlink" Target="https://doi.org/10.1186/s13098-023-00985-3" TargetMode="External"/><Relationship Id="rId21" Type="http://schemas.openxmlformats.org/officeDocument/2006/relationships/image" Target="media/image9.png"/><Relationship Id="rId34" Type="http://schemas.openxmlformats.org/officeDocument/2006/relationships/hyperlink" Target="http://www.cadth.ca/" TargetMode="External"/><Relationship Id="rId42" Type="http://schemas.openxmlformats.org/officeDocument/2006/relationships/hyperlink" Target="https://doi.org/10.1210/jc.2018-02574" TargetMode="External"/><Relationship Id="rId47" Type="http://schemas.openxmlformats.org/officeDocument/2006/relationships/hyperlink" Target="https://www.diabetesgenes.org/exeter-diabetes-app/ModyCalculator"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www.msac.gov.au/" TargetMode="External"/><Relationship Id="rId40" Type="http://schemas.openxmlformats.org/officeDocument/2006/relationships/hyperlink" Target="https://diretriz.diabetes.org.br/classificacao-do-diabetes/" TargetMode="External"/><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www.nice.org.uk" TargetMode="External"/><Relationship Id="rId49"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hyperlink" Target="https://www.diabetesgenes.org/exeter-diabetes-app/ModyCalculator" TargetMode="External"/><Relationship Id="rId31" Type="http://schemas.openxmlformats.org/officeDocument/2006/relationships/image" Target="media/image19.png"/><Relationship Id="rId44"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conitec.gov.br" TargetMode="External"/><Relationship Id="rId43" Type="http://schemas.openxmlformats.org/officeDocument/2006/relationships/hyperlink" Target="https://doi.org/10.20452/PAMW.3164" TargetMode="External"/><Relationship Id="rId48" Type="http://schemas.openxmlformats.org/officeDocument/2006/relationships/image" Target="media/image21.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diabetesgenes.org/exeter-diabetes-app/ModyCalculator" TargetMode="External"/><Relationship Id="rId25" Type="http://schemas.openxmlformats.org/officeDocument/2006/relationships/image" Target="media/image13.png"/><Relationship Id="rId33" Type="http://schemas.openxmlformats.org/officeDocument/2006/relationships/hyperlink" Target="https://www.diabetesgenes.org/exeter-diabetes-app/ModyCalculator" TargetMode="External"/><Relationship Id="rId38" Type="http://schemas.openxmlformats.org/officeDocument/2006/relationships/hyperlink" Target="https://www.scottishmedicines.org.uk/Home" TargetMode="External"/><Relationship Id="rId46"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hyperlink" Target="https://doi.org/10.1210/jendso/bvae047" TargetMode="External"/><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FvBIxnKto3CJ1EuuYtP1LEGLbA==">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</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2FF1DB93DCC6D428FCFFBDE556AD1A3" ma:contentTypeVersion="17" ma:contentTypeDescription="Crie um novo documento." ma:contentTypeScope="" ma:versionID="c22b8c4523fa55c170b3b16948c7efa8">
  <xsd:schema xmlns:xsd="http://www.w3.org/2001/XMLSchema" xmlns:xs="http://www.w3.org/2001/XMLSchema" xmlns:p="http://schemas.microsoft.com/office/2006/metadata/properties" xmlns:ns2="81d39372-0596-407b-8d3d-07a78b81bb4f" xmlns:ns3="fda8edfd-dad8-424a-8895-2bba090d051c" targetNamespace="http://schemas.microsoft.com/office/2006/metadata/properties" ma:root="true" ma:fieldsID="907351e70f5dd9d38d07f6b64ac7e42f" ns2:_="" ns3:_="">
    <xsd:import namespace="81d39372-0596-407b-8d3d-07a78b81bb4f"/>
    <xsd:import namespace="fda8edfd-dad8-424a-8895-2bba090d051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d39372-0596-407b-8d3d-07a78b81bb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afd22834-720d-4be5-8a17-75eb8688063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a8edfd-dad8-424a-8895-2bba090d051c" elementFormDefault="qualified">
    <xsd:import namespace="http://schemas.microsoft.com/office/2006/documentManagement/types"/>
    <xsd:import namespace="http://schemas.microsoft.com/office/infopath/2007/PartnerControls"/>
    <xsd:element name="SharedWithUsers" ma:index="17"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9eb8b91d-090c-43ed-9968-529a6fbd0f7f}" ma:internalName="TaxCatchAll" ma:showField="CatchAllData" ma:web="fda8edfd-dad8-424a-8895-2bba090d05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da8edfd-dad8-424a-8895-2bba090d051c" xsi:nil="true"/>
    <lcf76f155ced4ddcb4097134ff3c332f xmlns="81d39372-0596-407b-8d3d-07a78b81bb4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E7C4417-25CB-469B-876D-FC49834F8F81}">
  <ds:schemaRefs>
    <ds:schemaRef ds:uri="http://schemas.microsoft.com/sharepoint/v3/contenttype/forms"/>
  </ds:schemaRefs>
</ds:datastoreItem>
</file>

<file path=customXml/itemProps3.xml><?xml version="1.0" encoding="utf-8"?>
<ds:datastoreItem xmlns:ds="http://schemas.openxmlformats.org/officeDocument/2006/customXml" ds:itemID="{C7BEDBB4-11D9-4C76-AFCB-C3E407F37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d39372-0596-407b-8d3d-07a78b81bb4f"/>
    <ds:schemaRef ds:uri="fda8edfd-dad8-424a-8895-2bba090d05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F51CB5-D106-4732-B7F1-08EC94AE2648}">
  <ds:schemaRefs>
    <ds:schemaRef ds:uri="81d39372-0596-407b-8d3d-07a78b81bb4f"/>
    <ds:schemaRef ds:uri="http://schemas.microsoft.com/office/2006/metadata/propertie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www.w3.org/XML/1998/namespace"/>
    <ds:schemaRef ds:uri="fda8edfd-dad8-424a-8895-2bba090d051c"/>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23108</Words>
  <Characters>131720</Characters>
  <Application>Microsoft Office Word</Application>
  <DocSecurity>4</DocSecurity>
  <Lines>1097</Lines>
  <Paragraphs>309</Paragraphs>
  <ScaleCrop>false</ScaleCrop>
  <Company/>
  <LinksUpToDate>false</LinksUpToDate>
  <CharactersWithSpaces>154519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Cecilia Pessanha Lima</dc:creator>
  <cp:keywords/>
  <cp:lastModifiedBy>Carlos Rezende</cp:lastModifiedBy>
  <cp:revision>259</cp:revision>
  <dcterms:created xsi:type="dcterms:W3CDTF">2024-08-31T05:30:00Z</dcterms:created>
  <dcterms:modified xsi:type="dcterms:W3CDTF">2024-10-22T18:49:00Z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0x01010062FF1DB93DCC6D428FCFFBDE556AD1A3</vt:lpwstr>
  </property>
  <property fmtid="{D5CDD505-2E9C-101B-9397-08002B2CF9AE}" pid="3" name="MediaServiceImageTags">
    <vt:lpwstr/>
  </property>
</Properties>
</file>